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145"/>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ind w:left="425"/>
        <w:jc w:val="center"/>
        <w:rPr>
          <w:rFonts w:ascii="Calibri" w:cs="Calibri" w:eastAsia="Calibri" w:hAnsi="Calibri"/>
          <w:b w:val="1"/>
          <w:color w:val="93268f"/>
          <w:sz w:val="28"/>
          <w:szCs w:val="28"/>
        </w:rPr>
      </w:pPr>
      <w:r w:rsidDel="00000000" w:rsidR="00000000" w:rsidRPr="00000000">
        <w:rPr>
          <w:rFonts w:ascii="Calibri" w:cs="Calibri" w:eastAsia="Calibri" w:hAnsi="Calibri"/>
          <w:b w:val="1"/>
          <w:color w:val="93268f"/>
          <w:sz w:val="28"/>
          <w:szCs w:val="28"/>
          <w:rtl w:val="0"/>
        </w:rPr>
        <w:t xml:space="preserve">Fiche de formation</w:t>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tl w:val="0"/>
        </w:rPr>
      </w:r>
    </w:p>
    <w:tbl>
      <w:tblPr>
        <w:tblStyle w:val="Table1"/>
        <w:tblW w:w="8676.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9"/>
        <w:gridCol w:w="5783"/>
        <w:gridCol w:w="454"/>
        <w:tblGridChange w:id="0">
          <w:tblGrid>
            <w:gridCol w:w="2439"/>
            <w:gridCol w:w="5783"/>
            <w:gridCol w:w="454"/>
          </w:tblGrid>
        </w:tblGridChange>
      </w:tblGrid>
      <w:tr>
        <w:trPr>
          <w:cantSplit w:val="0"/>
          <w:trHeight w:val="36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5">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Titre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6">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Culture financière</w:t>
            </w:r>
          </w:p>
        </w:tc>
      </w:tr>
      <w:tr>
        <w:trPr>
          <w:cantSplit w:val="0"/>
          <w:trHeight w:val="8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Mots clés</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9">
            <w:pPr>
              <w:tabs>
                <w:tab w:val="left" w:leader="none" w:pos="3564"/>
              </w:tabs>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Accès au financement / Financement par l'emprunt / Financement par fonds propres / Intérêt / Prix / Inflation</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Fourni par</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C">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IHF / LWL</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0E">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Langue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F">
            <w:pPr>
              <w:ind w:right="1205"/>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FR</w:t>
            </w:r>
          </w:p>
        </w:tc>
      </w:tr>
      <w:tr>
        <w:trPr>
          <w:cantSplit w:val="0"/>
          <w:trHeight w:val="2814"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1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Objectifs</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2">
            <w:pPr>
              <w:numPr>
                <w:ilvl w:val="0"/>
                <w:numId w:val="4"/>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Soutenir les femmes entrepreneurs dans la compréhension des principaux aspects financiers, par l'acquisition de connaissances et d'outils techniques et pratiques.</w:t>
            </w:r>
          </w:p>
          <w:p w:rsidR="00000000" w:rsidDel="00000000" w:rsidP="00000000" w:rsidRDefault="00000000" w:rsidRPr="00000000" w14:paraId="00000013">
            <w:pPr>
              <w:ind w:left="360" w:firstLine="0"/>
              <w:rPr>
                <w:rFonts w:ascii="Calibri" w:cs="Calibri" w:eastAsia="Calibri" w:hAnsi="Calibri"/>
                <w:color w:val="244061"/>
                <w:sz w:val="24"/>
                <w:szCs w:val="24"/>
              </w:rPr>
            </w:pPr>
            <w:r w:rsidDel="00000000" w:rsidR="00000000" w:rsidRPr="00000000">
              <w:rPr>
                <w:rtl w:val="0"/>
              </w:rPr>
            </w:r>
          </w:p>
          <w:p w:rsidR="00000000" w:rsidDel="00000000" w:rsidP="00000000" w:rsidRDefault="00000000" w:rsidRPr="00000000" w14:paraId="00000014">
            <w:pPr>
              <w:numPr>
                <w:ilvl w:val="0"/>
                <w:numId w:val="4"/>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Fournir au groupe cible quelques opportunités et risques financiers externes et des exemples pour en tirer profit</w:t>
            </w:r>
          </w:p>
        </w:tc>
      </w:tr>
      <w:tr>
        <w:trPr>
          <w:cantSplit w:val="0"/>
          <w:trHeight w:val="2967"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16">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Résultats de l'apprentissage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7">
            <w:pPr>
              <w:numPr>
                <w:ilvl w:val="0"/>
                <w:numId w:val="3"/>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Poser les premières bases financières pour la création d'une nouvelle entreprise ou le développement d'une entreprise existante</w:t>
            </w:r>
          </w:p>
          <w:p w:rsidR="00000000" w:rsidDel="00000000" w:rsidP="00000000" w:rsidRDefault="00000000" w:rsidRPr="00000000" w14:paraId="00000018">
            <w:pPr>
              <w:ind w:left="360" w:firstLine="0"/>
              <w:rPr>
                <w:rFonts w:ascii="Calibri" w:cs="Calibri" w:eastAsia="Calibri" w:hAnsi="Calibri"/>
                <w:color w:val="244061"/>
                <w:sz w:val="24"/>
                <w:szCs w:val="24"/>
              </w:rPr>
            </w:pPr>
            <w:r w:rsidDel="00000000" w:rsidR="00000000" w:rsidRPr="00000000">
              <w:rPr>
                <w:rtl w:val="0"/>
              </w:rPr>
            </w:r>
          </w:p>
          <w:p w:rsidR="00000000" w:rsidDel="00000000" w:rsidP="00000000" w:rsidRDefault="00000000" w:rsidRPr="00000000" w14:paraId="00000019">
            <w:pPr>
              <w:numPr>
                <w:ilvl w:val="0"/>
                <w:numId w:val="3"/>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faire preuve de discrétion dans le choix des outils, des méthodes et du calendrier de financement</w:t>
            </w:r>
          </w:p>
          <w:p w:rsidR="00000000" w:rsidDel="00000000" w:rsidP="00000000" w:rsidRDefault="00000000" w:rsidRPr="00000000" w14:paraId="0000001A">
            <w:pPr>
              <w:rPr>
                <w:rFonts w:ascii="Calibri" w:cs="Calibri" w:eastAsia="Calibri" w:hAnsi="Calibri"/>
                <w:color w:val="244061"/>
                <w:sz w:val="24"/>
                <w:szCs w:val="24"/>
              </w:rPr>
            </w:pPr>
            <w:r w:rsidDel="00000000" w:rsidR="00000000" w:rsidRPr="00000000">
              <w:rPr>
                <w:rtl w:val="0"/>
              </w:rPr>
            </w:r>
          </w:p>
          <w:p w:rsidR="00000000" w:rsidDel="00000000" w:rsidP="00000000" w:rsidRDefault="00000000" w:rsidRPr="00000000" w14:paraId="0000001B">
            <w:pPr>
              <w:numPr>
                <w:ilvl w:val="0"/>
                <w:numId w:val="3"/>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Reconnaître les facteurs de risque externes et avoir un exemple de la manière de les traiter</w:t>
            </w:r>
          </w:p>
          <w:p w:rsidR="00000000" w:rsidDel="00000000" w:rsidP="00000000" w:rsidRDefault="00000000" w:rsidRPr="00000000" w14:paraId="0000001C">
            <w:pPr>
              <w:ind w:left="360" w:firstLine="0"/>
              <w:rPr>
                <w:rFonts w:ascii="Calibri" w:cs="Calibri" w:eastAsia="Calibri" w:hAnsi="Calibri"/>
                <w:color w:val="244061"/>
                <w:sz w:val="24"/>
                <w:szCs w:val="24"/>
              </w:rPr>
            </w:pPr>
            <w:r w:rsidDel="00000000" w:rsidR="00000000" w:rsidRPr="00000000">
              <w:rPr>
                <w:rtl w:val="0"/>
              </w:rPr>
            </w:r>
          </w:p>
          <w:p w:rsidR="00000000" w:rsidDel="00000000" w:rsidP="00000000" w:rsidRDefault="00000000" w:rsidRPr="00000000" w14:paraId="0000001D">
            <w:pPr>
              <w:numPr>
                <w:ilvl w:val="0"/>
                <w:numId w:val="3"/>
              </w:numPr>
              <w:ind w:left="360"/>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les apprenants peuvent élaborer un plan pour la viabilité financière d'une activité créatrice de valeur - Niveau avancé de la compétence-cadre EntreComp "Culture financière et économique".</w:t>
            </w:r>
          </w:p>
          <w:p w:rsidR="00000000" w:rsidDel="00000000" w:rsidP="00000000" w:rsidRDefault="00000000" w:rsidRPr="00000000" w14:paraId="0000001E">
            <w:pPr>
              <w:ind w:left="360" w:firstLine="0"/>
              <w:rPr>
                <w:rFonts w:ascii="Calibri" w:cs="Calibri" w:eastAsia="Calibri" w:hAnsi="Calibri"/>
                <w:color w:val="244061"/>
                <w:sz w:val="20"/>
                <w:szCs w:val="20"/>
              </w:rPr>
            </w:pPr>
            <w:r w:rsidDel="00000000" w:rsidR="00000000" w:rsidRPr="00000000">
              <w:rPr>
                <w:rtl w:val="0"/>
              </w:rPr>
            </w:r>
          </w:p>
        </w:tc>
      </w:tr>
      <w:tr>
        <w:trPr>
          <w:cantSplit w:val="0"/>
          <w:trHeight w:val="396" w:hRule="atLeast"/>
          <w:tblHeader w:val="0"/>
        </w:trPr>
        <w:tc>
          <w:tcPr>
            <w:vMerge w:val="restart"/>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0">
            <w:pPr>
              <w:rPr>
                <w:rFonts w:ascii="Calibri" w:cs="Calibri" w:eastAsia="Calibri" w:hAnsi="Calibri"/>
                <w:b w:val="1"/>
                <w:color w:val="244061"/>
                <w:sz w:val="24"/>
                <w:szCs w:val="24"/>
              </w:rPr>
            </w:pPr>
            <w:r w:rsidDel="00000000" w:rsidR="00000000" w:rsidRPr="00000000">
              <w:rPr>
                <w:rFonts w:ascii="Calibri" w:cs="Calibri" w:eastAsia="Calibri" w:hAnsi="Calibri"/>
                <w:b w:val="1"/>
                <w:color w:val="ffffff"/>
                <w:sz w:val="24"/>
                <w:szCs w:val="24"/>
                <w:rtl w:val="0"/>
              </w:rPr>
              <w:t xml:space="preserve">Espace de formation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Compétences numériques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ind w:left="1068" w:firstLine="0"/>
              <w:rPr>
                <w:rFonts w:ascii="Calibri" w:cs="Calibri" w:eastAsia="Calibri" w:hAnsi="Calibri"/>
                <w:color w:val="000000"/>
                <w:sz w:val="24"/>
                <w:szCs w:val="24"/>
              </w:rPr>
            </w:pPr>
            <w:r w:rsidDel="00000000" w:rsidR="00000000" w:rsidRPr="00000000">
              <w:rPr>
                <w:rtl w:val="0"/>
              </w:rPr>
            </w:r>
          </w:p>
        </w:tc>
      </w:tr>
      <w:tr>
        <w:trPr>
          <w:cantSplit w:val="0"/>
          <w:trHeight w:val="416" w:hRule="atLeast"/>
          <w:tblHeader w:val="0"/>
        </w:trPr>
        <w:tc>
          <w:tcPr>
            <w:vMerge w:val="continue"/>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Fixation des prix et marketing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ind w:left="1068" w:firstLine="0"/>
              <w:rPr>
                <w:rFonts w:ascii="Calibri" w:cs="Calibri" w:eastAsia="Calibri" w:hAnsi="Calibri"/>
                <w:color w:val="000000"/>
                <w:sz w:val="24"/>
                <w:szCs w:val="24"/>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L'accès au financement du point de vue des femmes</w:t>
            </w:r>
          </w:p>
        </w:tc>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ind w:left="1068" w:firstLine="0"/>
              <w:rPr>
                <w:rFonts w:ascii="Calibri" w:cs="Calibri" w:eastAsia="Calibri" w:hAnsi="Calibri"/>
                <w:color w:val="000000"/>
                <w:sz w:val="24"/>
                <w:szCs w:val="24"/>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93268f"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Compétences en matière de leadership et de communication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ind w:left="1068" w:firstLine="0"/>
              <w:rPr>
                <w:rFonts w:ascii="Calibri" w:cs="Calibri" w:eastAsia="Calibri" w:hAnsi="Calibri"/>
                <w:color w:val="000000"/>
                <w:sz w:val="24"/>
                <w:szCs w:val="24"/>
              </w:rPr>
            </w:pPr>
            <w:r w:rsidDel="00000000" w:rsidR="00000000" w:rsidRPr="00000000">
              <w:rPr>
                <w:rtl w:val="0"/>
              </w:rPr>
            </w:r>
          </w:p>
        </w:tc>
      </w:tr>
      <w:tr>
        <w:trPr>
          <w:cantSplit w:val="0"/>
          <w:trHeight w:val="5573"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2C">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Index du contenu</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D">
            <w:pPr>
              <w:rPr>
                <w:rFonts w:ascii="Calibri" w:cs="Calibri" w:eastAsia="Calibri" w:hAnsi="Calibri"/>
                <w:b w:val="1"/>
                <w:color w:val="cc00cc"/>
                <w:sz w:val="24"/>
                <w:szCs w:val="24"/>
              </w:rPr>
            </w:pPr>
            <w:bookmarkStart w:colFirst="0" w:colLast="0" w:name="_heading=h.gjdgxs" w:id="0"/>
            <w:bookmarkEnd w:id="0"/>
            <w:r w:rsidDel="00000000" w:rsidR="00000000" w:rsidRPr="00000000">
              <w:rPr>
                <w:rFonts w:ascii="Calibri" w:cs="Calibri" w:eastAsia="Calibri" w:hAnsi="Calibri"/>
                <w:b w:val="1"/>
                <w:color w:val="cc00cc"/>
                <w:sz w:val="28"/>
                <w:szCs w:val="28"/>
                <w:rtl w:val="0"/>
              </w:rPr>
              <w:t xml:space="preserve">Module : Éducation financière</w:t>
            </w:r>
            <w:r w:rsidDel="00000000" w:rsidR="00000000" w:rsidRPr="00000000">
              <w:rPr>
                <w:rtl w:val="0"/>
              </w:rPr>
            </w:r>
          </w:p>
          <w:p w:rsidR="00000000" w:rsidDel="00000000" w:rsidP="00000000" w:rsidRDefault="00000000" w:rsidRPr="00000000" w14:paraId="000000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ind w:left="360" w:firstLine="0"/>
              <w:rPr>
                <w:rFonts w:ascii="Calibri" w:cs="Calibri" w:eastAsia="Calibri" w:hAnsi="Calibri"/>
                <w:b w:val="1"/>
                <w:sz w:val="24"/>
                <w:szCs w:val="24"/>
              </w:rPr>
            </w:pPr>
            <w:r w:rsidDel="00000000" w:rsidR="00000000" w:rsidRPr="00000000">
              <w:rPr>
                <w:rFonts w:ascii="Calibri" w:cs="Calibri" w:eastAsia="Calibri" w:hAnsi="Calibri"/>
                <w:b w:val="1"/>
                <w:color w:val="cc00cc"/>
                <w:sz w:val="24"/>
                <w:szCs w:val="24"/>
                <w:rtl w:val="0"/>
              </w:rPr>
              <w:t xml:space="preserve">Unité 1 : Coût du financement et taux d'intérêt</w:t>
            </w:r>
            <w:r w:rsidDel="00000000" w:rsidR="00000000" w:rsidRPr="00000000">
              <w:rPr>
                <w:rtl w:val="0"/>
              </w:rPr>
            </w:r>
          </w:p>
          <w:p w:rsidR="00000000" w:rsidDel="00000000" w:rsidP="00000000" w:rsidRDefault="00000000" w:rsidRPr="00000000" w14:paraId="00000030">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 Coût de financement</w:t>
            </w:r>
          </w:p>
          <w:p w:rsidR="00000000" w:rsidDel="00000000" w:rsidP="00000000" w:rsidRDefault="00000000" w:rsidRPr="00000000" w14:paraId="00000031">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 Intérêts et taux d'intérêt</w:t>
            </w:r>
          </w:p>
          <w:p w:rsidR="00000000" w:rsidDel="00000000" w:rsidP="00000000" w:rsidRDefault="00000000" w:rsidRPr="00000000" w14:paraId="00000032">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 Différents types de taux</w:t>
            </w:r>
          </w:p>
          <w:p w:rsidR="00000000" w:rsidDel="00000000" w:rsidP="00000000" w:rsidRDefault="00000000" w:rsidRPr="00000000" w14:paraId="00000033">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Unité 2 : Financement par l'emprunt ou par les fonds propres</w:t>
            </w:r>
          </w:p>
          <w:p w:rsidR="00000000" w:rsidDel="00000000" w:rsidP="00000000" w:rsidRDefault="00000000" w:rsidRPr="00000000" w14:paraId="00000035">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 Vue d'ensemble</w:t>
            </w:r>
          </w:p>
          <w:p w:rsidR="00000000" w:rsidDel="00000000" w:rsidP="00000000" w:rsidRDefault="00000000" w:rsidRPr="00000000" w14:paraId="00000036">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 Financement par l'emprunt : prêts et emprunts</w:t>
            </w:r>
          </w:p>
          <w:p w:rsidR="00000000" w:rsidDel="00000000" w:rsidP="00000000" w:rsidRDefault="00000000" w:rsidRPr="00000000" w14:paraId="00000037">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 Financement par apport de fonds propres - meilleures pratiques</w:t>
            </w:r>
          </w:p>
          <w:p w:rsidR="00000000" w:rsidDel="00000000" w:rsidP="00000000" w:rsidRDefault="00000000" w:rsidRPr="00000000" w14:paraId="00000038">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ind w:left="360" w:firstLine="0"/>
              <w:rPr>
                <w:rFonts w:ascii="Calibri" w:cs="Calibri" w:eastAsia="Calibri" w:hAnsi="Calibri"/>
                <w:b w:val="1"/>
                <w:color w:val="cc00cc"/>
                <w:sz w:val="24"/>
                <w:szCs w:val="24"/>
              </w:rPr>
            </w:pPr>
            <w:r w:rsidDel="00000000" w:rsidR="00000000" w:rsidRPr="00000000">
              <w:rPr>
                <w:rFonts w:ascii="Calibri" w:cs="Calibri" w:eastAsia="Calibri" w:hAnsi="Calibri"/>
                <w:b w:val="1"/>
                <w:color w:val="cc00cc"/>
                <w:sz w:val="24"/>
                <w:szCs w:val="24"/>
                <w:rtl w:val="0"/>
              </w:rPr>
              <w:t xml:space="preserve">Unité 3 : Inflation</w:t>
            </w:r>
          </w:p>
          <w:p w:rsidR="00000000" w:rsidDel="00000000" w:rsidP="00000000" w:rsidRDefault="00000000" w:rsidRPr="00000000" w14:paraId="0000003A">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1 : Vue d'ensemble</w:t>
            </w:r>
          </w:p>
          <w:p w:rsidR="00000000" w:rsidDel="00000000" w:rsidP="00000000" w:rsidRDefault="00000000" w:rsidRPr="00000000" w14:paraId="0000003B">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2 : Tableau de bord de l'inflation</w:t>
            </w:r>
          </w:p>
          <w:p w:rsidR="00000000" w:rsidDel="00000000" w:rsidP="00000000" w:rsidRDefault="00000000" w:rsidRPr="00000000" w14:paraId="0000003C">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3 : Pourquoi c'est important</w:t>
            </w:r>
          </w:p>
          <w:p w:rsidR="00000000" w:rsidDel="00000000" w:rsidP="00000000" w:rsidRDefault="00000000" w:rsidRPr="00000000" w14:paraId="0000003D">
            <w:pPr>
              <w:ind w:left="360" w:firstLine="0"/>
              <w:rPr>
                <w:rFonts w:ascii="Calibri" w:cs="Calibri" w:eastAsia="Calibri" w:hAnsi="Calibri"/>
                <w:b w:val="1"/>
                <w:color w:val="cc00cc"/>
                <w:sz w:val="28"/>
                <w:szCs w:val="28"/>
              </w:rPr>
            </w:pPr>
            <w:r w:rsidDel="00000000" w:rsidR="00000000" w:rsidRPr="00000000">
              <w:rPr>
                <w:rFonts w:ascii="Calibri" w:cs="Calibri" w:eastAsia="Calibri" w:hAnsi="Calibri"/>
                <w:sz w:val="24"/>
                <w:szCs w:val="24"/>
                <w:rtl w:val="0"/>
              </w:rPr>
              <w:t xml:space="preserve">Section 4 : Comment la gérer - bonnes pratiques</w:t>
            </w:r>
            <w:r w:rsidDel="00000000" w:rsidR="00000000" w:rsidRPr="00000000">
              <w:rPr>
                <w:rtl w:val="0"/>
              </w:rPr>
            </w:r>
          </w:p>
          <w:p w:rsidR="00000000" w:rsidDel="00000000" w:rsidP="00000000" w:rsidRDefault="00000000" w:rsidRPr="00000000" w14:paraId="0000003E">
            <w:pPr>
              <w:ind w:left="360" w:firstLine="0"/>
              <w:rPr>
                <w:rFonts w:ascii="Calibri" w:cs="Calibri" w:eastAsia="Calibri" w:hAnsi="Calibri"/>
                <w:b w:val="1"/>
                <w:sz w:val="24"/>
                <w:szCs w:val="24"/>
              </w:rPr>
            </w:pPr>
            <w:r w:rsidDel="00000000" w:rsidR="00000000" w:rsidRPr="00000000">
              <w:rPr>
                <w:rtl w:val="0"/>
              </w:rPr>
            </w:r>
          </w:p>
        </w:tc>
      </w:tr>
      <w:tr>
        <w:trPr>
          <w:cantSplit w:val="0"/>
          <w:trHeight w:val="5148"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040">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Développement du contenu</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jc w:val="both"/>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 1: Debt vs Equity Finance</w:t>
            </w:r>
          </w:p>
          <w:p w:rsidR="00000000" w:rsidDel="00000000" w:rsidP="00000000" w:rsidRDefault="00000000" w:rsidRPr="00000000" w14:paraId="00000042">
            <w:pPr>
              <w:jc w:val="both"/>
              <w:rPr>
                <w:rFonts w:ascii="Calibri" w:cs="Calibri" w:eastAsia="Calibri" w:hAnsi="Calibri"/>
                <w:b w:val="1"/>
                <w:color w:val="cc00cc"/>
                <w:sz w:val="24"/>
                <w:szCs w:val="24"/>
              </w:rPr>
            </w:pPr>
            <w:r w:rsidDel="00000000" w:rsidR="00000000" w:rsidRPr="00000000">
              <w:rPr>
                <w:rtl w:val="0"/>
              </w:rPr>
            </w:r>
          </w:p>
          <w:p w:rsidR="00000000" w:rsidDel="00000000" w:rsidP="00000000" w:rsidRDefault="00000000" w:rsidRPr="00000000" w14:paraId="00000043">
            <w:pPr>
              <w:jc w:val="both"/>
              <w:rPr>
                <w:rFonts w:ascii="Calibri" w:cs="Calibri" w:eastAsia="Calibri" w:hAnsi="Calibri"/>
                <w:color w:val="cc00cc"/>
                <w:sz w:val="24"/>
                <w:szCs w:val="24"/>
              </w:rPr>
            </w:pPr>
            <w:r w:rsidDel="00000000" w:rsidR="00000000" w:rsidRPr="00000000">
              <w:rPr>
                <w:rFonts w:ascii="Calibri" w:cs="Calibri" w:eastAsia="Calibri" w:hAnsi="Calibri"/>
                <w:i w:val="1"/>
                <w:color w:val="cc00cc"/>
                <w:sz w:val="24"/>
                <w:szCs w:val="24"/>
                <w:rtl w:val="0"/>
              </w:rPr>
              <w:t xml:space="preserve">Section 1: Financing cost</w:t>
            </w:r>
            <w:r w:rsidDel="00000000" w:rsidR="00000000" w:rsidRPr="00000000">
              <w:rPr>
                <w:rtl w:val="0"/>
              </w:rPr>
            </w:r>
          </w:p>
          <w:p w:rsidR="00000000" w:rsidDel="00000000" w:rsidP="00000000" w:rsidRDefault="00000000" w:rsidRPr="00000000" w14:paraId="0000004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enterprise funds its operations using two different sources:</w:t>
            </w:r>
          </w:p>
          <w:p w:rsidR="00000000" w:rsidDel="00000000" w:rsidP="00000000" w:rsidRDefault="00000000" w:rsidRPr="00000000" w14:paraId="0000004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Equity financing</w:t>
            </w:r>
          </w:p>
          <w:p w:rsidR="00000000" w:rsidDel="00000000" w:rsidP="00000000" w:rsidRDefault="00000000" w:rsidRPr="00000000" w14:paraId="0000004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Debt financing</w:t>
            </w:r>
          </w:p>
          <w:p w:rsidR="00000000" w:rsidDel="00000000" w:rsidP="00000000" w:rsidRDefault="00000000" w:rsidRPr="00000000" w14:paraId="00000049">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Capital gains and dividends are required by equity investors, while debt providers seek interest payments.</w:t>
            </w:r>
          </w:p>
          <w:p w:rsidR="00000000" w:rsidDel="00000000" w:rsidP="00000000" w:rsidRDefault="00000000" w:rsidRPr="00000000" w14:paraId="0000004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Financing cost (FC)</w:t>
            </w:r>
            <w:r w:rsidDel="00000000" w:rsidR="00000000" w:rsidRPr="00000000">
              <w:rPr>
                <w:rFonts w:ascii="Calibri" w:cs="Calibri" w:eastAsia="Calibri" w:hAnsi="Calibri"/>
                <w:sz w:val="24"/>
                <w:szCs w:val="24"/>
                <w:rtl w:val="0"/>
              </w:rPr>
              <w:t xml:space="preserve">, however, refers to the interest and other fees charged to debt financiers. </w:t>
            </w:r>
            <w:r w:rsidDel="00000000" w:rsidR="00000000" w:rsidRPr="00000000">
              <w:rPr>
                <w:rFonts w:ascii="Calibri" w:cs="Calibri" w:eastAsia="Calibri" w:hAnsi="Calibri"/>
                <w:b w:val="1"/>
                <w:sz w:val="24"/>
                <w:szCs w:val="24"/>
                <w:rtl w:val="0"/>
              </w:rPr>
              <w:t xml:space="preserve">Interest expense</w:t>
            </w:r>
            <w:r w:rsidDel="00000000" w:rsidR="00000000" w:rsidRPr="00000000">
              <w:rPr>
                <w:rFonts w:ascii="Calibri" w:cs="Calibri" w:eastAsia="Calibri" w:hAnsi="Calibri"/>
                <w:sz w:val="24"/>
                <w:szCs w:val="24"/>
                <w:rtl w:val="0"/>
              </w:rPr>
              <w:t xml:space="preserve"> can be incurred on both short-term (less than a year) and long-term financing.</w:t>
            </w:r>
          </w:p>
          <w:p w:rsidR="00000000" w:rsidDel="00000000" w:rsidP="00000000" w:rsidRDefault="00000000" w:rsidRPr="00000000" w14:paraId="0000004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cost, interest, and other charges associated with an enterprise’s money require to create, purchase assets, or carry out operations – setting up or developing a business – are referred to as </w:t>
            </w:r>
            <w:r w:rsidDel="00000000" w:rsidR="00000000" w:rsidRPr="00000000">
              <w:rPr>
                <w:rFonts w:ascii="Calibri" w:cs="Calibri" w:eastAsia="Calibri" w:hAnsi="Calibri"/>
                <w:b w:val="1"/>
                <w:sz w:val="24"/>
                <w:szCs w:val="24"/>
                <w:rtl w:val="0"/>
              </w:rPr>
              <w:t xml:space="preserve">financing cost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4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 Intérêts et taux d'intérêt</w:t>
            </w:r>
          </w:p>
          <w:p w:rsidR="00000000" w:rsidDel="00000000" w:rsidP="00000000" w:rsidRDefault="00000000" w:rsidRPr="00000000" w14:paraId="0000005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entreprises et les investisseurs en général utilisent la formule suivante pour calculer le coût de financement :</w:t>
            </w:r>
          </w:p>
          <w:p w:rsidR="00000000" w:rsidDel="00000000" w:rsidP="00000000" w:rsidRDefault="00000000" w:rsidRPr="00000000" w14:paraId="0000005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jc w:val="right"/>
              <w:rPr>
                <w:rFonts w:ascii="Calibri" w:cs="Calibri" w:eastAsia="Calibri" w:hAnsi="Calibri"/>
                <w:b w:val="1"/>
              </w:rPr>
            </w:pPr>
            <w:r w:rsidDel="00000000" w:rsidR="00000000" w:rsidRPr="00000000">
              <w:rPr>
                <w:rFonts w:ascii="Calibri" w:cs="Calibri" w:eastAsia="Calibri" w:hAnsi="Calibri"/>
                <w:b w:val="1"/>
                <w:rtl w:val="0"/>
              </w:rPr>
              <w:t xml:space="preserve">(Montant total remboursé - Montant total emprunté)</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88900</wp:posOffset>
                      </wp:positionV>
                      <wp:extent cx="12700" cy="12700"/>
                      <wp:effectExtent b="0" l="0" r="0" t="0"/>
                      <wp:wrapNone/>
                      <wp:docPr id="238" name=""/>
                      <a:graphic>
                        <a:graphicData uri="http://schemas.microsoft.com/office/word/2010/wordprocessingShape">
                          <wps:wsp>
                            <wps:cNvCnPr/>
                            <wps:spPr>
                              <a:xfrm>
                                <a:off x="3863990" y="3780000"/>
                                <a:ext cx="296402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88900</wp:posOffset>
                      </wp:positionV>
                      <wp:extent cx="12700" cy="12700"/>
                      <wp:effectExtent b="0" l="0" r="0" t="0"/>
                      <wp:wrapNone/>
                      <wp:docPr id="238"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55">
            <w:pPr>
              <w:jc w:val="both"/>
              <w:rPr>
                <w:rFonts w:ascii="Calibri" w:cs="Calibri" w:eastAsia="Calibri" w:hAnsi="Calibri"/>
                <w:b w:val="1"/>
              </w:rPr>
            </w:pPr>
            <w:r w:rsidDel="00000000" w:rsidR="00000000" w:rsidRPr="00000000">
              <w:rPr>
                <w:rFonts w:ascii="Calibri" w:cs="Calibri" w:eastAsia="Calibri" w:hAnsi="Calibri"/>
                <w:b w:val="1"/>
                <w:rtl w:val="0"/>
              </w:rPr>
              <w:t xml:space="preserve">Coût des intérêts =</w:t>
            </w:r>
          </w:p>
          <w:p w:rsidR="00000000" w:rsidDel="00000000" w:rsidP="00000000" w:rsidRDefault="00000000" w:rsidRPr="00000000" w14:paraId="00000056">
            <w:pPr>
              <w:jc w:val="center"/>
              <w:rPr>
                <w:rFonts w:ascii="Calibri" w:cs="Calibri" w:eastAsia="Calibri" w:hAnsi="Calibri"/>
                <w:b w:val="1"/>
              </w:rPr>
            </w:pPr>
            <w:r w:rsidDel="00000000" w:rsidR="00000000" w:rsidRPr="00000000">
              <w:rPr>
                <w:rFonts w:ascii="Calibri" w:cs="Calibri" w:eastAsia="Calibri" w:hAnsi="Calibri"/>
                <w:b w:val="1"/>
                <w:rtl w:val="0"/>
              </w:rPr>
              <w:t xml:space="preserve">                      Montant total emprunté</w:t>
            </w:r>
          </w:p>
          <w:p w:rsidR="00000000" w:rsidDel="00000000" w:rsidP="00000000" w:rsidRDefault="00000000" w:rsidRPr="00000000" w14:paraId="0000005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jc w:val="center"/>
              <w:rPr>
                <w:rFonts w:ascii="Calibri" w:cs="Calibri" w:eastAsia="Calibri" w:hAnsi="Calibri"/>
                <w:b w:val="1"/>
              </w:rPr>
            </w:pPr>
            <w:r w:rsidDel="00000000" w:rsidR="00000000" w:rsidRPr="00000000">
              <w:rPr>
                <w:rFonts w:ascii="Calibri" w:cs="Calibri" w:eastAsia="Calibri" w:hAnsi="Calibri"/>
                <w:b w:val="1"/>
                <w:rtl w:val="0"/>
              </w:rPr>
              <w:t xml:space="preserve">                      Intérêt simple</w:t>
            </w:r>
          </w:p>
          <w:p w:rsidR="00000000" w:rsidDel="00000000" w:rsidP="00000000" w:rsidRDefault="00000000" w:rsidRPr="00000000" w14:paraId="00000059">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101600</wp:posOffset>
                      </wp:positionV>
                      <wp:extent cx="12700" cy="12700"/>
                      <wp:effectExtent b="0" l="0" r="0" t="0"/>
                      <wp:wrapNone/>
                      <wp:docPr id="237" name=""/>
                      <a:graphic>
                        <a:graphicData uri="http://schemas.microsoft.com/office/word/2010/wordprocessingShape">
                          <wps:wsp>
                            <wps:cNvCnPr/>
                            <wps:spPr>
                              <a:xfrm>
                                <a:off x="3864228" y="3780000"/>
                                <a:ext cx="296354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101600</wp:posOffset>
                      </wp:positionV>
                      <wp:extent cx="12700" cy="12700"/>
                      <wp:effectExtent b="0" l="0" r="0" t="0"/>
                      <wp:wrapNone/>
                      <wp:docPr id="237"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5A">
            <w:pPr>
              <w:jc w:val="center"/>
              <w:rPr>
                <w:rFonts w:ascii="Calibri" w:cs="Calibri" w:eastAsia="Calibri" w:hAnsi="Calibri"/>
                <w:b w:val="1"/>
              </w:rPr>
            </w:pPr>
            <w:r w:rsidDel="00000000" w:rsidR="00000000" w:rsidRPr="00000000">
              <w:rPr>
                <w:rFonts w:ascii="Calibri" w:cs="Calibri" w:eastAsia="Calibri" w:hAnsi="Calibri"/>
                <w:b w:val="1"/>
                <w:rtl w:val="0"/>
              </w:rPr>
              <w:t xml:space="preserve">                       Montant de principe</w:t>
            </w:r>
          </w:p>
          <w:p w:rsidR="00000000" w:rsidDel="00000000" w:rsidP="00000000" w:rsidRDefault="00000000" w:rsidRPr="00000000" w14:paraId="0000005B">
            <w:pPr>
              <w:jc w:val="center"/>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5C">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Afin de mieux comprendre la notion d'intérêt et donc de coût de financement, il convient de se référer au taux d'intérêt en introduisant la notion de temps, c'est-à-dire le temps nécessaire pour rembourser le financement.</w:t>
            </w:r>
          </w:p>
          <w:p w:rsidR="00000000" w:rsidDel="00000000" w:rsidP="00000000" w:rsidRDefault="00000000" w:rsidRPr="00000000" w14:paraId="0000005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Coût des intérêts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rFonts w:ascii="Calibri" w:cs="Calibri" w:eastAsia="Calibri" w:hAnsi="Calibri"/>
                <w:b w:val="1"/>
                <w:sz w:val="24"/>
                <w:szCs w:val="24"/>
                <w:rtl w:val="0"/>
              </w:rPr>
              <w:t xml:space="preserve"> annualisés et composés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rFonts w:ascii="Calibri" w:cs="Calibri" w:eastAsia="Calibri" w:hAnsi="Calibri"/>
                <w:b w:val="1"/>
                <w:sz w:val="24"/>
                <w:szCs w:val="24"/>
                <w:rtl w:val="0"/>
              </w:rPr>
              <w:t xml:space="preserve"> Taux d'intérêt</w:t>
            </w:r>
            <w:r w:rsidDel="00000000" w:rsidR="00000000" w:rsidRPr="00000000">
              <w:rPr>
                <w:rtl w:val="0"/>
              </w:rPr>
            </w:r>
          </w:p>
          <w:p w:rsidR="00000000" w:rsidDel="00000000" w:rsidP="00000000" w:rsidRDefault="00000000" w:rsidRPr="00000000" w14:paraId="00000060">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 = Montant du capital = Montant total emprunté</w:t>
            </w:r>
          </w:p>
          <w:p w:rsidR="00000000" w:rsidDel="00000000" w:rsidP="00000000" w:rsidRDefault="00000000" w:rsidRPr="00000000" w14:paraId="0000006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 Intérêt simple = Montant total remboursé - P</w:t>
            </w:r>
          </w:p>
          <w:p w:rsidR="00000000" w:rsidDel="00000000" w:rsidP="00000000" w:rsidRDefault="00000000" w:rsidRPr="00000000" w14:paraId="0000006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 nombre de périodes pour une année</w:t>
            </w:r>
          </w:p>
          <w:p w:rsidR="00000000" w:rsidDel="00000000" w:rsidP="00000000" w:rsidRDefault="00000000" w:rsidRPr="00000000" w14:paraId="0000006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 taux d'intérêt</w:t>
            </w:r>
          </w:p>
          <w:p w:rsidR="00000000" w:rsidDel="00000000" w:rsidP="00000000" w:rsidRDefault="00000000" w:rsidRPr="00000000" w14:paraId="0000006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(SI x 100)</w:t>
            </w:r>
          </w:p>
          <w:p w:rsidR="00000000" w:rsidDel="00000000" w:rsidP="00000000" w:rsidRDefault="00000000" w:rsidRPr="00000000" w14:paraId="0000006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 =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190500</wp:posOffset>
                      </wp:positionH>
                      <wp:positionV relativeFrom="paragraph">
                        <wp:posOffset>76200</wp:posOffset>
                      </wp:positionV>
                      <wp:extent cx="0" cy="12700"/>
                      <wp:effectExtent b="0" l="0" r="0" t="0"/>
                      <wp:wrapNone/>
                      <wp:docPr id="243" name=""/>
                      <a:graphic>
                        <a:graphicData uri="http://schemas.microsoft.com/office/word/2010/wordprocessingShape">
                          <wps:wsp>
                            <wps:cNvCnPr/>
                            <wps:spPr>
                              <a:xfrm>
                                <a:off x="4923377" y="3780000"/>
                                <a:ext cx="845246"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76200</wp:posOffset>
                      </wp:positionV>
                      <wp:extent cx="0" cy="12700"/>
                      <wp:effectExtent b="0" l="0" r="0" t="0"/>
                      <wp:wrapNone/>
                      <wp:docPr id="243"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6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(P x t)</w:t>
            </w:r>
          </w:p>
          <w:p w:rsidR="00000000" w:rsidDel="00000000" w:rsidP="00000000" w:rsidRDefault="00000000" w:rsidRPr="00000000" w14:paraId="0000006A">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Exemple 1:</w:t>
            </w:r>
          </w:p>
          <w:p w:rsidR="00000000" w:rsidDel="00000000" w:rsidP="00000000" w:rsidRDefault="00000000" w:rsidRPr="00000000" w14:paraId="0000006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€100                          r = ?                        €1400        </w:t>
            </w:r>
          </w:p>
          <w:p w:rsidR="00000000" w:rsidDel="00000000" w:rsidP="00000000" w:rsidRDefault="00000000" w:rsidRPr="00000000" w14:paraId="0000006E">
            <w:pPr>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698500</wp:posOffset>
                      </wp:positionH>
                      <wp:positionV relativeFrom="paragraph">
                        <wp:posOffset>101600</wp:posOffset>
                      </wp:positionV>
                      <wp:extent cx="0" cy="12700"/>
                      <wp:effectExtent b="0" l="0" r="0" t="0"/>
                      <wp:wrapNone/>
                      <wp:docPr id="242" name=""/>
                      <a:graphic>
                        <a:graphicData uri="http://schemas.microsoft.com/office/word/2010/wordprocessingShape">
                          <wps:wsp>
                            <wps:cNvCnPr/>
                            <wps:spPr>
                              <a:xfrm>
                                <a:off x="4227788" y="3780000"/>
                                <a:ext cx="2236424"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101600</wp:posOffset>
                      </wp:positionV>
                      <wp:extent cx="0" cy="12700"/>
                      <wp:effectExtent b="0" l="0" r="0" t="0"/>
                      <wp:wrapNone/>
                      <wp:docPr id="242"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6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w:t>
            </w:r>
            <w:r w:rsidDel="00000000" w:rsidR="00000000" w:rsidRPr="00000000">
              <w:rPr>
                <w:rFonts w:ascii="Calibri" w:cs="Calibri" w:eastAsia="Calibri" w:hAnsi="Calibri"/>
                <w:sz w:val="24"/>
                <w:szCs w:val="24"/>
                <w:vertAlign w:val="subscript"/>
                <w:rtl w:val="0"/>
              </w:rPr>
              <w:t xml:space="preserve">0                                                                                                  </w:t>
            </w:r>
            <w:r w:rsidDel="00000000" w:rsidR="00000000" w:rsidRPr="00000000">
              <w:rPr>
                <w:rFonts w:ascii="Calibri" w:cs="Calibri" w:eastAsia="Calibri" w:hAnsi="Calibri"/>
                <w:sz w:val="24"/>
                <w:szCs w:val="24"/>
                <w:rtl w:val="0"/>
              </w:rPr>
              <w:t xml:space="preserve">t</w:t>
            </w:r>
            <w:r w:rsidDel="00000000" w:rsidR="00000000" w:rsidRPr="00000000">
              <w:rPr>
                <w:rFonts w:ascii="Calibri" w:cs="Calibri" w:eastAsia="Calibri" w:hAnsi="Calibri"/>
                <w:sz w:val="24"/>
                <w:szCs w:val="24"/>
                <w:vertAlign w:val="subscript"/>
                <w:rtl w:val="0"/>
              </w:rPr>
              <w:t xml:space="preserve">1</w:t>
            </w:r>
            <w:r w:rsidDel="00000000" w:rsidR="00000000" w:rsidRPr="00000000">
              <w:rPr>
                <w:rFonts w:ascii="Calibri" w:cs="Calibri" w:eastAsia="Calibri" w:hAnsi="Calibri"/>
                <w:sz w:val="24"/>
                <w:szCs w:val="24"/>
                <w:rtl w:val="0"/>
              </w:rPr>
              <w:t xml:space="preserve"> = 24 months</w:t>
            </w:r>
          </w:p>
          <w:p w:rsidR="00000000" w:rsidDel="00000000" w:rsidP="00000000" w:rsidRDefault="00000000" w:rsidRPr="00000000" w14:paraId="0000007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 = 1000</w:t>
            </w:r>
          </w:p>
          <w:p w:rsidR="00000000" w:rsidDel="00000000" w:rsidP="00000000" w:rsidRDefault="00000000" w:rsidRPr="00000000" w14:paraId="0000007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Montant total remboursé = 1400</w:t>
            </w:r>
          </w:p>
          <w:p w:rsidR="00000000" w:rsidDel="00000000" w:rsidP="00000000" w:rsidRDefault="00000000" w:rsidRPr="00000000" w14:paraId="0000007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 1400 – 1000 = 400</w:t>
            </w:r>
          </w:p>
          <w:p w:rsidR="00000000" w:rsidDel="00000000" w:rsidP="00000000" w:rsidRDefault="00000000" w:rsidRPr="00000000" w14:paraId="0000007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 t</w:t>
            </w:r>
            <w:r w:rsidDel="00000000" w:rsidR="00000000" w:rsidRPr="00000000">
              <w:rPr>
                <w:rFonts w:ascii="Calibri" w:cs="Calibri" w:eastAsia="Calibri" w:hAnsi="Calibri"/>
                <w:sz w:val="24"/>
                <w:szCs w:val="24"/>
                <w:vertAlign w:val="subscript"/>
                <w:rtl w:val="0"/>
              </w:rPr>
              <w:t xml:space="preserve">0</w:t>
            </w:r>
            <w:r w:rsidDel="00000000" w:rsidR="00000000" w:rsidRPr="00000000">
              <w:rPr>
                <w:rFonts w:ascii="Calibri" w:cs="Calibri" w:eastAsia="Calibri" w:hAnsi="Calibri"/>
                <w:sz w:val="24"/>
                <w:szCs w:val="24"/>
                <w:rtl w:val="0"/>
              </w:rPr>
              <w:t xml:space="preserve"> – t</w:t>
            </w:r>
            <w:r w:rsidDel="00000000" w:rsidR="00000000" w:rsidRPr="00000000">
              <w:rPr>
                <w:rFonts w:ascii="Calibri" w:cs="Calibri" w:eastAsia="Calibri" w:hAnsi="Calibri"/>
                <w:sz w:val="24"/>
                <w:szCs w:val="24"/>
                <w:vertAlign w:val="subscript"/>
                <w:rtl w:val="0"/>
              </w:rPr>
              <w:t xml:space="preserve">1 </w:t>
            </w:r>
            <w:r w:rsidDel="00000000" w:rsidR="00000000" w:rsidRPr="00000000">
              <w:rPr>
                <w:rFonts w:ascii="Calibri" w:cs="Calibri" w:eastAsia="Calibri" w:hAnsi="Calibri"/>
                <w:sz w:val="24"/>
                <w:szCs w:val="24"/>
                <w:rtl w:val="0"/>
              </w:rPr>
              <w:t xml:space="preserve">= 24/12 = 2</w:t>
            </w:r>
          </w:p>
          <w:p w:rsidR="00000000" w:rsidDel="00000000" w:rsidP="00000000" w:rsidRDefault="00000000" w:rsidRPr="00000000" w14:paraId="0000007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 = (400 x 100) / (1000 x 2) = 20%</w:t>
            </w:r>
          </w:p>
          <w:p w:rsidR="00000000" w:rsidDel="00000000" w:rsidP="00000000" w:rsidRDefault="00000000" w:rsidRPr="00000000" w14:paraId="00000077">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 est le taux d'intérêt - c'est-à-dire la part du financement qui est facturée en tant qu'intérêt à une entreprise, exprimée en pourcentage annuel de l'encours du financement.</w:t>
            </w:r>
          </w:p>
          <w:p w:rsidR="00000000" w:rsidDel="00000000" w:rsidP="00000000" w:rsidRDefault="00000000" w:rsidRPr="00000000" w14:paraId="0000007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L'intérêt composé (IC)</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également appelé intérêt sur l'intérêt, est une autre méthode de calcul du coût de financement. Il s'applique à la fois au capital - principe - et aux intérêts cumulés gagnés au cours des périodes précédentes.</w:t>
            </w:r>
          </w:p>
          <w:p w:rsidR="00000000" w:rsidDel="00000000" w:rsidP="00000000" w:rsidRDefault="00000000" w:rsidRPr="00000000" w14:paraId="0000007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la première année, l'entreprise doit la part du capital plus les intérêts de cette année. À la fin de la deuxième année, l'entreprise doit la part du capital plus les intérêts de cette année plus les intérêts sur les intérêts de l'année précédente. Et ainsi de suite.</w:t>
            </w:r>
          </w:p>
          <w:p w:rsidR="00000000" w:rsidDel="00000000" w:rsidP="00000000" w:rsidRDefault="00000000" w:rsidRPr="00000000" w14:paraId="0000007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Ainsi, </w:t>
            </w:r>
            <w:r w:rsidDel="00000000" w:rsidR="00000000" w:rsidRPr="00000000">
              <w:rPr>
                <w:rFonts w:ascii="Calibri" w:cs="Calibri" w:eastAsia="Calibri" w:hAnsi="Calibri"/>
                <w:b w:val="1"/>
                <w:sz w:val="24"/>
                <w:szCs w:val="24"/>
                <w:rtl w:val="0"/>
              </w:rPr>
              <w:t xml:space="preserve">lorsque l'on compose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rFonts w:ascii="Calibri" w:cs="Calibri" w:eastAsia="Calibri" w:hAnsi="Calibri"/>
                <w:b w:val="1"/>
                <w:sz w:val="24"/>
                <w:szCs w:val="24"/>
                <w:rtl w:val="0"/>
              </w:rPr>
              <w:t xml:space="preserve"> IC &gt; SI)</w:t>
            </w:r>
            <w:r w:rsidDel="00000000" w:rsidR="00000000" w:rsidRPr="00000000">
              <w:rPr>
                <w:rFonts w:ascii="Calibri" w:cs="Calibri" w:eastAsia="Calibri" w:hAnsi="Calibri"/>
                <w:sz w:val="24"/>
                <w:szCs w:val="24"/>
                <w:rtl w:val="0"/>
              </w:rPr>
              <w:t xml:space="preserve">, les intérêts dus sont supérieurs aux intérêts dus en utilisant l'approche des intérêts simples.</w:t>
            </w:r>
          </w:p>
          <w:p w:rsidR="00000000" w:rsidDel="00000000" w:rsidP="00000000" w:rsidRDefault="00000000" w:rsidRPr="00000000" w14:paraId="0000007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IC = P x (1 + r)</w:t>
            </w:r>
            <w:r w:rsidDel="00000000" w:rsidR="00000000" w:rsidRPr="00000000">
              <w:rPr>
                <w:rFonts w:ascii="Calibri" w:cs="Calibri" w:eastAsia="Calibri" w:hAnsi="Calibri"/>
                <w:b w:val="1"/>
                <w:sz w:val="24"/>
                <w:szCs w:val="24"/>
                <w:vertAlign w:val="superscript"/>
                <w:rtl w:val="0"/>
              </w:rPr>
              <w:t xml:space="preserve">t </w:t>
            </w:r>
            <w:r w:rsidDel="00000000" w:rsidR="00000000" w:rsidRPr="00000000">
              <w:rPr>
                <w:rFonts w:ascii="Calibri" w:cs="Calibri" w:eastAsia="Calibri" w:hAnsi="Calibri"/>
                <w:b w:val="1"/>
                <w:sz w:val="24"/>
                <w:szCs w:val="24"/>
                <w:rtl w:val="0"/>
              </w:rPr>
              <w:t xml:space="preserve">– P</w:t>
            </w:r>
            <w:r w:rsidDel="00000000" w:rsidR="00000000" w:rsidRPr="00000000">
              <w:rPr>
                <w:rtl w:val="0"/>
              </w:rPr>
            </w:r>
          </w:p>
          <w:p w:rsidR="00000000" w:rsidDel="00000000" w:rsidP="00000000" w:rsidRDefault="00000000" w:rsidRPr="00000000" w14:paraId="0000008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 1:</w:t>
            </w:r>
          </w:p>
          <w:p w:rsidR="00000000" w:rsidDel="00000000" w:rsidP="00000000" w:rsidRDefault="00000000" w:rsidRPr="00000000" w14:paraId="0000008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 = 1000</w:t>
            </w:r>
          </w:p>
          <w:p w:rsidR="00000000" w:rsidDel="00000000" w:rsidP="00000000" w:rsidRDefault="00000000" w:rsidRPr="00000000" w14:paraId="0000008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 400</w:t>
            </w:r>
          </w:p>
          <w:p w:rsidR="00000000" w:rsidDel="00000000" w:rsidP="00000000" w:rsidRDefault="00000000" w:rsidRPr="00000000" w14:paraId="0000008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 2</w:t>
            </w:r>
          </w:p>
          <w:p w:rsidR="00000000" w:rsidDel="00000000" w:rsidP="00000000" w:rsidRDefault="00000000" w:rsidRPr="00000000" w14:paraId="0000008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 20%</w:t>
            </w:r>
          </w:p>
          <w:p w:rsidR="00000000" w:rsidDel="00000000" w:rsidP="00000000" w:rsidRDefault="00000000" w:rsidRPr="00000000" w14:paraId="0000008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 = 1000 x (1 + 0,20)</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 – 1000 = 440</w:t>
            </w:r>
          </w:p>
          <w:p w:rsidR="00000000" w:rsidDel="00000000" w:rsidP="00000000" w:rsidRDefault="00000000" w:rsidRPr="00000000" w14:paraId="000000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440 &gt; 400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rFonts w:ascii="Calibri" w:cs="Calibri" w:eastAsia="Calibri" w:hAnsi="Calibri"/>
                <w:b w:val="1"/>
                <w:sz w:val="24"/>
                <w:szCs w:val="24"/>
                <w:rtl w:val="0"/>
              </w:rPr>
              <w:t xml:space="preserve"> IC &gt; SI</w:t>
            </w:r>
          </w:p>
          <w:p w:rsidR="00000000" w:rsidDel="00000000" w:rsidP="00000000" w:rsidRDefault="00000000" w:rsidRPr="00000000" w14:paraId="0000008B">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les périodes plus courtes, le calcul des intérêts sera similaire pour les deux méthodes - SI et IC. Toutefois, à mesure que la période de financement s'allonge, l'écart entre les deux formes d'estimation des intérêts s'accroît, en faveur de l'IC par rapport à l'IS.</w:t>
            </w:r>
          </w:p>
          <w:p w:rsidR="00000000" w:rsidDel="00000000" w:rsidP="00000000" w:rsidRDefault="00000000" w:rsidRPr="00000000" w14:paraId="0000008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jc w:val="both"/>
              <w:rPr>
                <w:rFonts w:ascii="Calibri" w:cs="Calibri" w:eastAsia="Calibri" w:hAnsi="Calibri"/>
                <w:sz w:val="24"/>
                <w:szCs w:val="24"/>
              </w:rPr>
            </w:pPr>
            <w:r w:rsidDel="00000000" w:rsidR="00000000" w:rsidRPr="00000000">
              <w:rPr>
                <w:rFonts w:ascii="Calibri" w:cs="Calibri" w:eastAsia="Calibri" w:hAnsi="Calibri"/>
                <w:i w:val="1"/>
                <w:color w:val="cc00cc"/>
                <w:sz w:val="24"/>
                <w:szCs w:val="24"/>
                <w:rtl w:val="0"/>
              </w:rPr>
              <w:t xml:space="preserve">Section 3 : Différents types de taux</w:t>
            </w:r>
            <w:r w:rsidDel="00000000" w:rsidR="00000000" w:rsidRPr="00000000">
              <w:rPr>
                <w:rtl w:val="0"/>
              </w:rPr>
            </w:r>
          </w:p>
          <w:p w:rsidR="00000000" w:rsidDel="00000000" w:rsidP="00000000" w:rsidRDefault="00000000" w:rsidRPr="00000000" w14:paraId="0000009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TAEG vs APY</w:t>
            </w:r>
          </w:p>
          <w:p w:rsidR="00000000" w:rsidDel="00000000" w:rsidP="00000000" w:rsidRDefault="00000000" w:rsidRPr="00000000" w14:paraId="00000092">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Taux annuel effectif global (TAEG)</w:t>
            </w:r>
          </w:p>
          <w:p w:rsidR="00000000" w:rsidDel="00000000" w:rsidP="00000000" w:rsidRDefault="00000000" w:rsidRPr="00000000" w14:paraId="0000009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 is the annual rate of interest without taking into account the compounding of interest within that year.</w:t>
            </w:r>
          </w:p>
          <w:p w:rsidR="00000000" w:rsidDel="00000000" w:rsidP="00000000" w:rsidRDefault="00000000" w:rsidRPr="00000000" w14:paraId="0000009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96">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ab/>
            </w:r>
            <w:r w:rsidDel="00000000" w:rsidR="00000000" w:rsidRPr="00000000">
              <w:rPr>
                <w:rFonts w:ascii="Calibri" w:cs="Calibri" w:eastAsia="Calibri" w:hAnsi="Calibri"/>
                <w:b w:val="1"/>
                <w:sz w:val="24"/>
                <w:szCs w:val="24"/>
                <w:rtl w:val="0"/>
              </w:rPr>
              <w:t xml:space="preserve">TAEG = Taux périodique x nombre de périodes dans l'année</w:t>
            </w:r>
          </w:p>
          <w:p w:rsidR="00000000" w:rsidDel="00000000" w:rsidP="00000000" w:rsidRDefault="00000000" w:rsidRPr="00000000" w14:paraId="0000009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Rendement annuel en pourcentage (APY)</w:t>
            </w:r>
            <w:r w:rsidDel="00000000" w:rsidR="00000000" w:rsidRPr="00000000">
              <w:rPr>
                <w:rtl w:val="0"/>
              </w:rPr>
            </w:r>
          </w:p>
          <w:p w:rsidR="00000000" w:rsidDel="00000000" w:rsidP="00000000" w:rsidRDefault="00000000" w:rsidRPr="00000000" w14:paraId="0000009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L'APY prend en compte les effets de la composition en cours d'année.</w:t>
            </w:r>
          </w:p>
          <w:p w:rsidR="00000000" w:rsidDel="00000000" w:rsidP="00000000" w:rsidRDefault="00000000" w:rsidRPr="00000000" w14:paraId="0000009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9B">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ab/>
              <w:tab/>
            </w:r>
            <w:r w:rsidDel="00000000" w:rsidR="00000000" w:rsidRPr="00000000">
              <w:rPr>
                <w:rFonts w:ascii="Calibri" w:cs="Calibri" w:eastAsia="Calibri" w:hAnsi="Calibri"/>
                <w:b w:val="1"/>
                <w:sz w:val="24"/>
                <w:szCs w:val="24"/>
                <w:rtl w:val="0"/>
              </w:rPr>
              <w:t xml:space="preserve">APY = (1 + Taux périodique)</w:t>
            </w:r>
            <w:r w:rsidDel="00000000" w:rsidR="00000000" w:rsidRPr="00000000">
              <w:rPr>
                <w:rFonts w:ascii="Calibri" w:cs="Calibri" w:eastAsia="Calibri" w:hAnsi="Calibri"/>
                <w:b w:val="1"/>
                <w:sz w:val="24"/>
                <w:szCs w:val="24"/>
                <w:vertAlign w:val="superscript"/>
                <w:rtl w:val="0"/>
              </w:rPr>
              <w:t xml:space="preserve">Nombre de périodes</w:t>
            </w:r>
            <w:r w:rsidDel="00000000" w:rsidR="00000000" w:rsidRPr="00000000">
              <w:rPr>
                <w:rFonts w:ascii="Calibri" w:cs="Calibri" w:eastAsia="Calibri" w:hAnsi="Calibri"/>
                <w:b w:val="1"/>
                <w:sz w:val="24"/>
                <w:szCs w:val="24"/>
                <w:rtl w:val="0"/>
              </w:rPr>
              <w:t xml:space="preserve"> – 1</w:t>
            </w:r>
          </w:p>
          <w:p w:rsidR="00000000" w:rsidDel="00000000" w:rsidP="00000000" w:rsidRDefault="00000000" w:rsidRPr="00000000" w14:paraId="0000009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Exemple 2:</w:t>
            </w:r>
          </w:p>
          <w:p w:rsidR="00000000" w:rsidDel="00000000" w:rsidP="00000000" w:rsidRDefault="00000000" w:rsidRPr="00000000" w14:paraId="0000009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société de cartes de crédit peut facturer 1,5 % d'intérêts.</w:t>
            </w:r>
          </w:p>
          <w:p w:rsidR="00000000" w:rsidDel="00000000" w:rsidP="00000000" w:rsidRDefault="00000000" w:rsidRPr="00000000" w14:paraId="000000A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TAEG = (1,5% x 12 mois) = 18%</w:t>
            </w:r>
          </w:p>
          <w:p w:rsidR="00000000" w:rsidDel="00000000" w:rsidP="00000000" w:rsidRDefault="00000000" w:rsidRPr="00000000" w14:paraId="000000A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APY = (1 + 0,015)</w:t>
            </w:r>
            <w:r w:rsidDel="00000000" w:rsidR="00000000" w:rsidRPr="00000000">
              <w:rPr>
                <w:rFonts w:ascii="Calibri" w:cs="Calibri" w:eastAsia="Calibri" w:hAnsi="Calibri"/>
                <w:sz w:val="24"/>
                <w:szCs w:val="24"/>
                <w:vertAlign w:val="superscript"/>
                <w:rtl w:val="0"/>
              </w:rPr>
              <w:t xml:space="preserve">12</w:t>
            </w:r>
            <w:r w:rsidDel="00000000" w:rsidR="00000000" w:rsidRPr="00000000">
              <w:rPr>
                <w:rFonts w:ascii="Calibri" w:cs="Calibri" w:eastAsia="Calibri" w:hAnsi="Calibri"/>
                <w:sz w:val="24"/>
                <w:szCs w:val="24"/>
                <w:rtl w:val="0"/>
              </w:rPr>
              <w:t xml:space="preserve"> – 1 = 19,56%</w:t>
            </w:r>
          </w:p>
          <w:p w:rsidR="00000000" w:rsidDel="00000000" w:rsidP="00000000" w:rsidRDefault="00000000" w:rsidRPr="00000000" w14:paraId="000000A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taux annuel comparable de 18 % vous sera facturé si vous conservez une dette sur votre carte de crédit pendant un mois. Toutefois, si vous conservez cette somme pendant toute l'année, votre taux d'intérêt effectif passe à 19,56 % en raison de la capitalisation mensuelle.</w:t>
            </w:r>
          </w:p>
          <w:p w:rsidR="00000000" w:rsidDel="00000000" w:rsidP="00000000" w:rsidRDefault="00000000" w:rsidRPr="00000000" w14:paraId="000000A4">
            <w:pPr>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139700</wp:posOffset>
                      </wp:positionV>
                      <wp:extent cx="2120265" cy="819785"/>
                      <wp:effectExtent b="0" l="0" r="0" t="0"/>
                      <wp:wrapNone/>
                      <wp:docPr id="240" name=""/>
                      <a:graphic>
                        <a:graphicData uri="http://schemas.microsoft.com/office/word/2010/wordprocessingShape">
                          <wps:wsp>
                            <wps:cNvSpPr/>
                            <wps:cNvPr id="21" name="Shape 21"/>
                            <wps:spPr>
                              <a:xfrm>
                                <a:off x="4311268" y="3395508"/>
                                <a:ext cx="2069465" cy="768985"/>
                              </a:xfrm>
                              <a:prstGeom prst="roundRect">
                                <a:avLst>
                                  <a:gd fmla="val 16667" name="adj"/>
                                </a:avLst>
                              </a:prstGeom>
                              <a:solidFill>
                                <a:srgbClr val="CF9ECC"/>
                              </a:solidFill>
                              <a:ln cap="flat" cmpd="sng" w="25400">
                                <a:solidFill>
                                  <a:srgbClr val="CF9E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5f1f5a"/>
                                      <w:sz w:val="24"/>
                                      <w:vertAlign w:val="baseline"/>
                                    </w:rPr>
                                    <w:t xml:space="preserve">Online APR  APY calculator: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5f1f5a"/>
                                      <w:sz w:val="24"/>
                                      <w:vertAlign w:val="baseline"/>
                                    </w:rPr>
                                  </w:r>
                                  <w:r w:rsidDel="00000000" w:rsidR="00000000" w:rsidRPr="00000000">
                                    <w:rPr>
                                      <w:rFonts w:ascii="Calibri" w:cs="Calibri" w:eastAsia="Calibri" w:hAnsi="Calibri"/>
                                      <w:b w:val="1"/>
                                      <w:i w:val="0"/>
                                      <w:smallCaps w:val="0"/>
                                      <w:strike w:val="0"/>
                                      <w:color w:val="5f1f5a"/>
                                      <w:sz w:val="24"/>
                                      <w:u w:val="single"/>
                                      <w:vertAlign w:val="baseline"/>
                                    </w:rPr>
                                    <w:t xml:space="preserve">https://www.aprtoapy.com/</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139700</wp:posOffset>
                      </wp:positionV>
                      <wp:extent cx="2120265" cy="819785"/>
                      <wp:effectExtent b="0" l="0" r="0" t="0"/>
                      <wp:wrapNone/>
                      <wp:docPr id="240"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120265" cy="819785"/>
                              </a:xfrm>
                              <a:prstGeom prst="rect"/>
                              <a:ln/>
                            </pic:spPr>
                          </pic:pic>
                        </a:graphicData>
                      </a:graphic>
                    </wp:anchor>
                  </w:drawing>
                </mc:Fallback>
              </mc:AlternateContent>
            </w:r>
          </w:p>
          <w:p w:rsidR="00000000" w:rsidDel="00000000" w:rsidP="00000000" w:rsidRDefault="00000000" w:rsidRPr="00000000" w14:paraId="000000A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jc w:val="both"/>
              <w:rPr>
                <w:rFonts w:ascii="Calibri" w:cs="Calibri" w:eastAsia="Calibri" w:hAnsi="Calibri"/>
                <w:b w:val="1"/>
                <w:color w:val="cc00cc"/>
                <w:sz w:val="28"/>
                <w:szCs w:val="28"/>
              </w:rPr>
            </w:pPr>
            <w:r w:rsidDel="00000000" w:rsidR="00000000" w:rsidRPr="00000000">
              <w:rPr>
                <w:rtl w:val="0"/>
              </w:rPr>
            </w:r>
          </w:p>
          <w:p w:rsidR="00000000" w:rsidDel="00000000" w:rsidP="00000000" w:rsidRDefault="00000000" w:rsidRPr="00000000" w14:paraId="000000AA">
            <w:pPr>
              <w:jc w:val="both"/>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Unité 2 : Financement par l'emprunt ou par les fonds propres</w:t>
            </w:r>
          </w:p>
          <w:p w:rsidR="00000000" w:rsidDel="00000000" w:rsidP="00000000" w:rsidRDefault="00000000" w:rsidRPr="00000000" w14:paraId="000000A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jc w:val="both"/>
              <w:rPr>
                <w:rFonts w:ascii="Calibri" w:cs="Calibri" w:eastAsia="Calibri" w:hAnsi="Calibri"/>
                <w:b w:val="1"/>
                <w:color w:val="cc00cc"/>
                <w:sz w:val="28"/>
                <w:szCs w:val="28"/>
              </w:rPr>
            </w:pPr>
            <w:r w:rsidDel="00000000" w:rsidR="00000000" w:rsidRPr="00000000">
              <w:rPr>
                <w:rFonts w:ascii="Calibri" w:cs="Calibri" w:eastAsia="Calibri" w:hAnsi="Calibri"/>
                <w:i w:val="1"/>
                <w:color w:val="cc00cc"/>
                <w:sz w:val="24"/>
                <w:szCs w:val="24"/>
                <w:rtl w:val="0"/>
              </w:rPr>
              <w:t xml:space="preserve">Section 1 : Vue d'ensemble</w:t>
            </w:r>
            <w:r w:rsidDel="00000000" w:rsidR="00000000" w:rsidRPr="00000000">
              <w:rPr>
                <w:rtl w:val="0"/>
              </w:rPr>
            </w:r>
          </w:p>
          <w:p w:rsidR="00000000" w:rsidDel="00000000" w:rsidP="00000000" w:rsidRDefault="00000000" w:rsidRPr="00000000" w14:paraId="000000A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w:t>
            </w:r>
            <w:r w:rsidDel="00000000" w:rsidR="00000000" w:rsidRPr="00000000">
              <w:rPr>
                <w:rFonts w:ascii="Calibri" w:cs="Calibri" w:eastAsia="Calibri" w:hAnsi="Calibri"/>
                <w:b w:val="1"/>
                <w:sz w:val="24"/>
                <w:szCs w:val="24"/>
                <w:rtl w:val="0"/>
              </w:rPr>
              <w:t xml:space="preserve">ratio dettes/fonds propres (D/FP) </w:t>
            </w:r>
            <w:r w:rsidDel="00000000" w:rsidR="00000000" w:rsidRPr="00000000">
              <w:rPr>
                <w:rFonts w:ascii="Calibri" w:cs="Calibri" w:eastAsia="Calibri" w:hAnsi="Calibri"/>
                <w:sz w:val="24"/>
                <w:szCs w:val="24"/>
                <w:rtl w:val="0"/>
              </w:rPr>
              <w:t xml:space="preserve">indique la proportion de dettes et de fonds propres dans le financement d'une entreprise.</w:t>
            </w:r>
          </w:p>
          <w:p w:rsidR="00000000" w:rsidDel="00000000" w:rsidP="00000000" w:rsidRDefault="00000000" w:rsidRPr="00000000" w14:paraId="000000A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jc w:val="both"/>
              <w:rPr>
                <w:rFonts w:ascii="Calibri" w:cs="Calibri" w:eastAsia="Calibri" w:hAnsi="Calibri"/>
                <w:sz w:val="2"/>
                <w:szCs w:val="2"/>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B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Total des dettes</w:t>
            </w:r>
          </w:p>
          <w:p w:rsidR="00000000" w:rsidDel="00000000" w:rsidP="00000000" w:rsidRDefault="00000000" w:rsidRPr="00000000" w14:paraId="000000B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D/FP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76200</wp:posOffset>
                      </wp:positionV>
                      <wp:extent cx="2957195" cy="41910"/>
                      <wp:effectExtent b="0" l="0" r="0" t="0"/>
                      <wp:wrapNone/>
                      <wp:docPr id="239" name=""/>
                      <a:graphic>
                        <a:graphicData uri="http://schemas.microsoft.com/office/word/2010/wordprocessingShape">
                          <wps:wsp>
                            <wps:cNvCnPr/>
                            <wps:spPr>
                              <a:xfrm rot="10800000">
                                <a:off x="3876928" y="3768570"/>
                                <a:ext cx="2938145" cy="2286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76200</wp:posOffset>
                      </wp:positionV>
                      <wp:extent cx="2957195" cy="41910"/>
                      <wp:effectExtent b="0" l="0" r="0" t="0"/>
                      <wp:wrapNone/>
                      <wp:docPr id="239"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957195" cy="41910"/>
                              </a:xfrm>
                              <a:prstGeom prst="rect"/>
                              <a:ln/>
                            </pic:spPr>
                          </pic:pic>
                        </a:graphicData>
                      </a:graphic>
                    </wp:anchor>
                  </w:drawing>
                </mc:Fallback>
              </mc:AlternateContent>
            </w:r>
          </w:p>
          <w:p w:rsidR="00000000" w:rsidDel="00000000" w:rsidP="00000000" w:rsidRDefault="00000000" w:rsidRPr="00000000" w14:paraId="000000B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Total des capitaux propres</w:t>
            </w:r>
          </w:p>
          <w:p w:rsidR="00000000" w:rsidDel="00000000" w:rsidP="00000000" w:rsidRDefault="00000000" w:rsidRPr="00000000" w14:paraId="000000B4">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général, </w:t>
            </w:r>
            <w:r w:rsidDel="00000000" w:rsidR="00000000" w:rsidRPr="00000000">
              <w:rPr>
                <w:rFonts w:ascii="Calibri" w:cs="Calibri" w:eastAsia="Calibri" w:hAnsi="Calibri"/>
                <w:b w:val="1"/>
                <w:sz w:val="24"/>
                <w:szCs w:val="24"/>
                <w:rtl w:val="0"/>
              </w:rPr>
              <w:t xml:space="preserve">0,5 &lt; D/FP &lt; 1,5 </w:t>
            </w:r>
            <w:r w:rsidDel="00000000" w:rsidR="00000000" w:rsidRPr="00000000">
              <w:rPr>
                <w:rFonts w:ascii="Calibri" w:cs="Calibri" w:eastAsia="Calibri" w:hAnsi="Calibri"/>
                <w:sz w:val="24"/>
                <w:szCs w:val="24"/>
                <w:rtl w:val="0"/>
              </w:rPr>
              <w:t xml:space="preserve">est considéré comme bon en termes de risque pour l'entreprise.</w:t>
            </w:r>
          </w:p>
          <w:p w:rsidR="00000000" w:rsidDel="00000000" w:rsidP="00000000" w:rsidRDefault="00000000" w:rsidRPr="00000000" w14:paraId="000000B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Exemples de financement par l'emprunt</w:t>
            </w:r>
          </w:p>
          <w:p w:rsidR="00000000" w:rsidDel="00000000" w:rsidP="00000000" w:rsidRDefault="00000000" w:rsidRPr="00000000" w14:paraId="000000B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Emprunt de l'argent</w:t>
            </w:r>
          </w:p>
          <w:p w:rsidR="00000000" w:rsidDel="00000000" w:rsidP="00000000" w:rsidRDefault="00000000" w:rsidRPr="00000000" w14:paraId="000000BA">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Charge financière supplémentaire pour l'entreprise</w:t>
            </w:r>
          </w:p>
          <w:p w:rsidR="00000000" w:rsidDel="00000000" w:rsidP="00000000" w:rsidRDefault="00000000" w:rsidRPr="00000000" w14:paraId="000000BB">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Obligation de rembourser l'argent obtenu avec des intérêts</w:t>
            </w:r>
          </w:p>
          <w:p w:rsidR="00000000" w:rsidDel="00000000" w:rsidP="00000000" w:rsidRDefault="00000000" w:rsidRPr="00000000" w14:paraId="000000BC">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Prévision aisée des coûts</w:t>
            </w:r>
          </w:p>
          <w:p w:rsidR="00000000" w:rsidDel="00000000" w:rsidP="00000000" w:rsidRDefault="00000000" w:rsidRPr="00000000" w14:paraId="000000BD">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Calendrier de remboursement</w:t>
            </w:r>
          </w:p>
          <w:p w:rsidR="00000000" w:rsidDel="00000000" w:rsidP="00000000" w:rsidRDefault="00000000" w:rsidRPr="00000000" w14:paraId="000000B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Exemples de financement par fonds propres</w:t>
            </w:r>
          </w:p>
          <w:p w:rsidR="00000000" w:rsidDel="00000000" w:rsidP="00000000" w:rsidRDefault="00000000" w:rsidRPr="00000000" w14:paraId="000000C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Vente d'une partie des capitaux propres de l'entreprise</w:t>
            </w:r>
          </w:p>
          <w:p w:rsidR="00000000" w:rsidDel="00000000" w:rsidP="00000000" w:rsidRDefault="00000000" w:rsidRPr="00000000" w14:paraId="000000C2">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Partage de l'activité de gestion</w:t>
            </w:r>
          </w:p>
          <w:p w:rsidR="00000000" w:rsidDel="00000000" w:rsidP="00000000" w:rsidRDefault="00000000" w:rsidRPr="00000000" w14:paraId="000000C3">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Participation aux bénéfices</w:t>
            </w:r>
          </w:p>
          <w:p w:rsidR="00000000" w:rsidDel="00000000" w:rsidP="00000000" w:rsidRDefault="00000000" w:rsidRPr="00000000" w14:paraId="000000C4">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accès plus facile à la phase naissante</w:t>
            </w:r>
          </w:p>
          <w:p w:rsidR="00000000" w:rsidDel="00000000" w:rsidP="00000000" w:rsidRDefault="00000000" w:rsidRPr="00000000" w14:paraId="000000C5">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jc w:val="both"/>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 Financement par l'emprunt : prêts et emprunts</w:t>
            </w:r>
          </w:p>
          <w:p w:rsidR="00000000" w:rsidDel="00000000" w:rsidP="00000000" w:rsidRDefault="00000000" w:rsidRPr="00000000" w14:paraId="000000C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PRÊTEUR</w:t>
            </w:r>
            <w:r w:rsidDel="00000000" w:rsidR="00000000" w:rsidRPr="00000000">
              <w:rPr>
                <w:rFonts w:ascii="Calibri" w:cs="Calibri" w:eastAsia="Calibri" w:hAnsi="Calibri"/>
                <w:sz w:val="24"/>
                <w:szCs w:val="24"/>
                <w:rtl w:val="0"/>
              </w:rPr>
              <w:t xml:space="preserve"> : Un prêteur est un individu, un groupe ou une institution financière qui prête de l'argent dans l'attente d'un remboursement, généralement avec des intérêts.</w:t>
            </w:r>
          </w:p>
          <w:p w:rsidR="00000000" w:rsidDel="00000000" w:rsidP="00000000" w:rsidRDefault="00000000" w:rsidRPr="00000000" w14:paraId="000000C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EMPRUNTEUR</w:t>
            </w:r>
            <w:r w:rsidDel="00000000" w:rsidR="00000000" w:rsidRPr="00000000">
              <w:rPr>
                <w:rFonts w:ascii="Calibri" w:cs="Calibri" w:eastAsia="Calibri" w:hAnsi="Calibri"/>
                <w:sz w:val="24"/>
                <w:szCs w:val="24"/>
                <w:rtl w:val="0"/>
              </w:rPr>
              <w:t xml:space="preserve"> : Un emprunteur est un individu ou une entité - entreprise - qui obtient de l'argent à crédit, c'est-à-dire avec l'intention de le rendre, généralement avec des intérêts.</w:t>
            </w:r>
          </w:p>
          <w:p w:rsidR="00000000" w:rsidDel="00000000" w:rsidP="00000000" w:rsidRDefault="00000000" w:rsidRPr="00000000" w14:paraId="000000C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 prêts</w:t>
            </w:r>
            <w:r w:rsidDel="00000000" w:rsidR="00000000" w:rsidRPr="00000000">
              <w:rPr>
                <w:rFonts w:ascii="Calibri" w:cs="Calibri" w:eastAsia="Calibri" w:hAnsi="Calibri"/>
                <w:sz w:val="24"/>
                <w:szCs w:val="24"/>
                <w:rtl w:val="0"/>
              </w:rPr>
              <w:t xml:space="preserve"> sont généralement accordés par des banques ou des prêteurs privés et sont régis par un </w:t>
            </w:r>
            <w:r w:rsidDel="00000000" w:rsidR="00000000" w:rsidRPr="00000000">
              <w:rPr>
                <w:rFonts w:ascii="Calibri" w:cs="Calibri" w:eastAsia="Calibri" w:hAnsi="Calibri"/>
                <w:b w:val="1"/>
                <w:sz w:val="24"/>
                <w:szCs w:val="24"/>
                <w:rtl w:val="0"/>
              </w:rPr>
              <w:t xml:space="preserve">contrat de prêt formel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Quel que soit le prêteur, l'emprunteur est tenu de rembourser le prêt, avec des intérêts et dans un délai déterminé. Si l'emprunteur ne rembourse pas, le prêteur peut avoir le droit de s'approprier les biens de l'emprunteur s'ils sont donnés en garantie, c'est-à-dire s'il s'agit d'un bien utilisé comme sûreté, au cas où le prêt ne serait pas remboursé.</w:t>
            </w:r>
          </w:p>
          <w:p w:rsidR="00000000" w:rsidDel="00000000" w:rsidP="00000000" w:rsidRDefault="00000000" w:rsidRPr="00000000" w14:paraId="000000D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Prêt à taux réduit : &lt;Il est accordé sans intérêt ou presque, avec des délais de grâce prolongés, c'est-à-dire plus souples que les prêts classiques.</w:t>
            </w:r>
          </w:p>
          <w:p w:rsidR="00000000" w:rsidDel="00000000" w:rsidP="00000000" w:rsidRDefault="00000000" w:rsidRPr="00000000" w14:paraId="000000D2">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3">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Conseil : Les subventions</w:t>
            </w:r>
            <w:r w:rsidDel="00000000" w:rsidR="00000000" w:rsidRPr="00000000">
              <w:rPr>
                <w:rFonts w:ascii="Calibri" w:cs="Calibri" w:eastAsia="Calibri" w:hAnsi="Calibri"/>
                <w:sz w:val="24"/>
                <w:szCs w:val="24"/>
                <w:rtl w:val="0"/>
              </w:rPr>
              <w:t xml:space="preserve"> sont, par essence, des cadeaux. Elles ne sont pas remboursables. Les subventions peuvent être accordées à des particuliers, à des entreprises, à des établissements d'enseignement ou à des organisations à but non lucratif par des ministères, des fiducies ou des sociétés. Plusieurs paramètres permettent d'y accéder.</w:t>
            </w:r>
          </w:p>
          <w:p w:rsidR="00000000" w:rsidDel="00000000" w:rsidP="00000000" w:rsidRDefault="00000000" w:rsidRPr="00000000" w14:paraId="000000D4">
            <w:pPr>
              <w:jc w:val="both"/>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D5">
            <w:pPr>
              <w:jc w:val="both"/>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160704</wp:posOffset>
                      </wp:positionV>
                      <wp:extent cx="3323590" cy="333311"/>
                      <wp:effectExtent b="0" l="0" r="0" t="0"/>
                      <wp:wrapNone/>
                      <wp:docPr id="241" name=""/>
                      <a:graphic>
                        <a:graphicData uri="http://schemas.microsoft.com/office/word/2010/wordprocessingShape">
                          <wps:wsp>
                            <wps:cNvSpPr/>
                            <wps:cNvPr id="22" name="Shape 22"/>
                            <wps:spPr>
                              <a:xfrm>
                                <a:off x="3693730" y="3636808"/>
                                <a:ext cx="3304540" cy="28638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18"/>
                                      <w:vertAlign w:val="baseline"/>
                                    </w:rPr>
                                    <w:t xml:space="preserve">Une entreprise doit être constituée en société avant qu'un prêt puisse être demandé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160704</wp:posOffset>
                      </wp:positionV>
                      <wp:extent cx="3323590" cy="333311"/>
                      <wp:effectExtent b="0" l="0" r="0" t="0"/>
                      <wp:wrapNone/>
                      <wp:docPr id="241"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3323590" cy="333311"/>
                              </a:xfrm>
                              <a:prstGeom prst="rect"/>
                              <a:ln/>
                            </pic:spPr>
                          </pic:pic>
                        </a:graphicData>
                      </a:graphic>
                    </wp:anchor>
                  </w:drawing>
                </mc:Fallback>
              </mc:AlternateContent>
            </w:r>
          </w:p>
          <w:p w:rsidR="00000000" w:rsidDel="00000000" w:rsidP="00000000" w:rsidRDefault="00000000" w:rsidRPr="00000000" w14:paraId="000000D6">
            <w:pPr>
              <w:jc w:val="both"/>
              <w:rPr>
                <w:rFonts w:ascii="Calibri" w:cs="Calibri" w:eastAsia="Calibri" w:hAnsi="Calibri"/>
              </w:rPr>
            </w:pPr>
            <w:r w:rsidDel="00000000" w:rsidR="00000000" w:rsidRPr="00000000">
              <w:rPr>
                <w:rFonts w:ascii="Calibri" w:cs="Calibri" w:eastAsia="Calibri" w:hAnsi="Calibri"/>
              </w:rPr>
              <w:drawing>
                <wp:inline distB="0" distT="0" distL="0" distR="0">
                  <wp:extent cx="318107" cy="342578"/>
                  <wp:effectExtent b="0" l="0" r="0" t="0"/>
                  <wp:docPr descr="Avviso contorno" id="244" name="image1.png"/>
                  <a:graphic>
                    <a:graphicData uri="http://schemas.openxmlformats.org/drawingml/2006/picture">
                      <pic:pic>
                        <pic:nvPicPr>
                          <pic:cNvPr descr="Avviso contorno" id="0" name="image1.png"/>
                          <pic:cNvPicPr preferRelativeResize="0"/>
                        </pic:nvPicPr>
                        <pic:blipFill>
                          <a:blip r:embed="rId14"/>
                          <a:srcRect b="0" l="0" r="0" t="0"/>
                          <a:stretch>
                            <a:fillRect/>
                          </a:stretch>
                        </pic:blipFill>
                        <pic:spPr>
                          <a:xfrm>
                            <a:off x="0" y="0"/>
                            <a:ext cx="318107" cy="34257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jc w:val="both"/>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 Financement par apport de fonds propres - meilleures pratiques</w:t>
            </w:r>
          </w:p>
          <w:p w:rsidR="00000000" w:rsidDel="00000000" w:rsidP="00000000" w:rsidRDefault="00000000" w:rsidRPr="00000000" w14:paraId="000000D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L'échelle et la portée du </w:t>
            </w:r>
            <w:r w:rsidDel="00000000" w:rsidR="00000000" w:rsidRPr="00000000">
              <w:rPr>
                <w:rFonts w:ascii="Calibri" w:cs="Calibri" w:eastAsia="Calibri" w:hAnsi="Calibri"/>
                <w:b w:val="1"/>
                <w:sz w:val="24"/>
                <w:szCs w:val="24"/>
                <w:rtl w:val="0"/>
              </w:rPr>
              <w:t xml:space="preserve">financement par apport de fonds propres</w:t>
            </w:r>
            <w:r w:rsidDel="00000000" w:rsidR="00000000" w:rsidRPr="00000000">
              <w:rPr>
                <w:rFonts w:ascii="Calibri" w:cs="Calibri" w:eastAsia="Calibri" w:hAnsi="Calibri"/>
                <w:sz w:val="24"/>
                <w:szCs w:val="24"/>
                <w:rtl w:val="0"/>
              </w:rPr>
              <w:t xml:space="preserve"> englobent un large éventail d'activités, allant de la collecte de quelques centaines de dollars auprès d'amis et de membres de la famille à la collecte de milliards de dollars auprès de grandes organisations et d'un grand nombre d'investisseurs dans le cadre d'offres publiques initiales (Initial Public Offerings).</w:t>
            </w:r>
          </w:p>
          <w:p w:rsidR="00000000" w:rsidDel="00000000" w:rsidP="00000000" w:rsidRDefault="00000000" w:rsidRPr="00000000" w14:paraId="000000DB">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Parmi les formes les plus courantes et les plus connues de financement extérieur par apport de fonds propres, on peut citer</w:t>
            </w:r>
          </w:p>
          <w:p w:rsidR="00000000" w:rsidDel="00000000" w:rsidP="00000000" w:rsidRDefault="00000000" w:rsidRPr="00000000" w14:paraId="000000D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DE">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 investisseurs providentiels:</w:t>
            </w:r>
            <w:r w:rsidDel="00000000" w:rsidR="00000000" w:rsidRPr="00000000">
              <w:rPr>
                <w:rFonts w:ascii="Calibri" w:cs="Calibri" w:eastAsia="Calibri" w:hAnsi="Calibri"/>
                <w:sz w:val="24"/>
                <w:szCs w:val="24"/>
                <w:rtl w:val="0"/>
              </w:rPr>
              <w:t xml:space="preserve"> Il s'agit d'une personne ou d'un groupe - généralement des amis, des membres de la famille ou des investisseurs professionnels - qui investissent leur propre argent dans une entreprise. Ils n'ont aucun droit sur la gestion quotidienne de l'entreprise.</w:t>
            </w:r>
          </w:p>
          <w:p w:rsidR="00000000" w:rsidDel="00000000" w:rsidP="00000000" w:rsidRDefault="00000000" w:rsidRPr="00000000" w14:paraId="000000DF">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Capital-risqueurs (VC) : </w:t>
            </w:r>
            <w:r w:rsidDel="00000000" w:rsidR="00000000" w:rsidRPr="00000000">
              <w:rPr>
                <w:rFonts w:ascii="Calibri" w:cs="Calibri" w:eastAsia="Calibri" w:hAnsi="Calibri"/>
                <w:sz w:val="24"/>
                <w:szCs w:val="24"/>
                <w:rtl w:val="0"/>
              </w:rPr>
              <w:t xml:space="preserve">Ils sont des investisseurs professionnels et compétents qui fournissent des capitaux à des entreprises sélectionnées. Ils peuvent investir l'argent d'autres personnes.</w:t>
            </w:r>
          </w:p>
          <w:p w:rsidR="00000000" w:rsidDel="00000000" w:rsidP="00000000" w:rsidRDefault="00000000" w:rsidRPr="00000000" w14:paraId="000000E0">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Offre publique initiale (IPO) : &lt;Une entreprise peut se procurer des fonds en offrant et en vendant des actions au public dans le cadre d'une nouvelle émission d'actions. De la propriété privée à la propriété publique.</w:t>
            </w:r>
          </w:p>
          <w:p w:rsidR="00000000" w:rsidDel="00000000" w:rsidP="00000000" w:rsidRDefault="00000000" w:rsidRPr="00000000" w14:paraId="000000E1">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Crowdfunding : </w:t>
            </w:r>
            <w:r w:rsidDel="00000000" w:rsidR="00000000" w:rsidRPr="00000000">
              <w:rPr>
                <w:rFonts w:ascii="Calibri" w:cs="Calibri" w:eastAsia="Calibri" w:hAnsi="Calibri"/>
                <w:sz w:val="24"/>
                <w:szCs w:val="24"/>
                <w:rtl w:val="0"/>
              </w:rPr>
              <w:t xml:space="preserve">Méthode de financement d'un projet ou d'une entreprise par la collecte d'argent auprès d'un grand nombre de personnes/investisseurs qui fournissent un petit compte - aussi peu que 1 000 euros pour chaque investisseur. Cette méthode commence généralement par une "campagne" en ligne sur l'un des sites de crowdfunding.</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0E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Meilleure pratique : </w:t>
            </w:r>
            <w:hyperlink r:id="rId15">
              <w:r w:rsidDel="00000000" w:rsidR="00000000" w:rsidRPr="00000000">
                <w:rPr>
                  <w:rFonts w:ascii="Calibri" w:cs="Calibri" w:eastAsia="Calibri" w:hAnsi="Calibri"/>
                  <w:b w:val="1"/>
                  <w:sz w:val="24"/>
                  <w:szCs w:val="24"/>
                  <w:u w:val="single"/>
                  <w:rtl w:val="0"/>
                </w:rPr>
                <w:t xml:space="preserve">Women TechEU</w:t>
              </w:r>
            </w:hyperlink>
            <w:r w:rsidDel="00000000" w:rsidR="00000000" w:rsidRPr="00000000">
              <w:rPr>
                <w:rFonts w:ascii="Calibri" w:cs="Calibri" w:eastAsia="Calibri" w:hAnsi="Calibri"/>
                <w:b w:val="1"/>
                <w:sz w:val="24"/>
                <w:szCs w:val="24"/>
                <w:rtl w:val="0"/>
              </w:rPr>
              <w:t xml:space="preserve"> - Soutenir les start-ups deep-tech dirigées par des femmes</w:t>
            </w:r>
            <w:r w:rsidDel="00000000" w:rsidR="00000000" w:rsidRPr="00000000">
              <w:rPr>
                <w:rtl w:val="0"/>
              </w:rPr>
            </w:r>
          </w:p>
          <w:p w:rsidR="00000000" w:rsidDel="00000000" w:rsidP="00000000" w:rsidRDefault="00000000" w:rsidRPr="00000000" w14:paraId="000000E5">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0" distT="0" distL="0" distR="0">
                  <wp:extent cx="3823335" cy="1108710"/>
                  <wp:effectExtent b="0" l="0" r="0" t="0"/>
                  <wp:docPr descr="Immagine che contiene testo, parete, interni, persona&#10;&#10;Descrizione generata automaticamente" id="246" name="image3.png"/>
                  <a:graphic>
                    <a:graphicData uri="http://schemas.openxmlformats.org/drawingml/2006/picture">
                      <pic:pic>
                        <pic:nvPicPr>
                          <pic:cNvPr descr="Immagine che contiene testo, parete, interni, persona&#10;&#10;Descrizione generata automaticamente" id="0" name="image3.png"/>
                          <pic:cNvPicPr preferRelativeResize="0"/>
                        </pic:nvPicPr>
                        <pic:blipFill>
                          <a:blip r:embed="rId16"/>
                          <a:srcRect b="0" l="0" r="0" t="0"/>
                          <a:stretch>
                            <a:fillRect/>
                          </a:stretch>
                        </pic:blipFill>
                        <pic:spPr>
                          <a:xfrm>
                            <a:off x="0" y="0"/>
                            <a:ext cx="3823335" cy="110871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Financé dans le cadre du programme Horizon Europe, </w:t>
            </w:r>
            <w:hyperlink r:id="rId17">
              <w:r w:rsidDel="00000000" w:rsidR="00000000" w:rsidRPr="00000000">
                <w:rPr>
                  <w:rFonts w:ascii="Calibri" w:cs="Calibri" w:eastAsia="Calibri" w:hAnsi="Calibri"/>
                  <w:b w:val="1"/>
                  <w:sz w:val="24"/>
                  <w:szCs w:val="24"/>
                  <w:u w:val="single"/>
                  <w:rtl w:val="0"/>
                </w:rPr>
                <w:t xml:space="preserve">Women TechEU</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est une nouvelle initiative de l'Union européenne. Le programme offre un accompagnement et un mentorat de premier ordre aux fondatrices, ainsi qu'un financement ciblé pour les aider à faire passer leur entreprise à la vitesse supérieure. Cette initiative offre notamment</w:t>
            </w:r>
          </w:p>
          <w:p w:rsidR="00000000" w:rsidDel="00000000" w:rsidP="00000000" w:rsidRDefault="00000000" w:rsidRPr="00000000" w14:paraId="000000E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Soutien financier </w:t>
            </w:r>
            <w:r w:rsidDel="00000000" w:rsidR="00000000" w:rsidRPr="00000000">
              <w:rPr>
                <w:rFonts w:ascii="Calibri" w:cs="Calibri" w:eastAsia="Calibri" w:hAnsi="Calibri"/>
                <w:sz w:val="24"/>
                <w:szCs w:val="24"/>
                <w:rtl w:val="0"/>
              </w:rPr>
              <w:t xml:space="preserve">à l'entreprise sous la forme d'une subvention individuelle de 75 000 euros pour soutenir les étapes initiales du processus d'innovation et la croissance de l'entreprise.</w:t>
            </w:r>
          </w:p>
          <w:p w:rsidR="00000000" w:rsidDel="00000000" w:rsidP="00000000" w:rsidRDefault="00000000" w:rsidRPr="00000000" w14:paraId="000000EB">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possibilité de participer à des activités spécifiques organisées par InvestEU et Enterprise Europe Network</w:t>
            </w:r>
          </w:p>
          <w:p w:rsidR="00000000" w:rsidDel="00000000" w:rsidP="00000000" w:rsidRDefault="00000000" w:rsidRPr="00000000" w14:paraId="000000E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jc w:val="both"/>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Unité 3 : Inflation</w:t>
            </w:r>
          </w:p>
          <w:p w:rsidR="00000000" w:rsidDel="00000000" w:rsidP="00000000" w:rsidRDefault="00000000" w:rsidRPr="00000000" w14:paraId="000000E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jc w:val="both"/>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1 : Vue d'ensemble</w:t>
            </w:r>
          </w:p>
          <w:p w:rsidR="00000000" w:rsidDel="00000000" w:rsidP="00000000" w:rsidRDefault="00000000" w:rsidRPr="00000000" w14:paraId="000000F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Qu'est-ce que l'inflation ?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rFonts w:ascii="Calibri" w:cs="Calibri" w:eastAsia="Calibri" w:hAnsi="Calibri"/>
                <w:b w:val="1"/>
                <w:sz w:val="24"/>
                <w:szCs w:val="24"/>
                <w:rtl w:val="0"/>
              </w:rPr>
              <w:t xml:space="preserve"> Augmentation générale des prix</w:t>
            </w:r>
          </w:p>
          <w:p w:rsidR="00000000" w:rsidDel="00000000" w:rsidP="00000000" w:rsidRDefault="00000000" w:rsidRPr="00000000" w14:paraId="000000F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4">
            <w:pPr>
              <w:widowControl w:val="1"/>
              <w:jc w:val="both"/>
              <w:rPr>
                <w:rFonts w:ascii="Times New Roman" w:cs="Times New Roman" w:eastAsia="Times New Roman" w:hAnsi="Times New Roman"/>
                <w:sz w:val="16"/>
                <w:szCs w:val="16"/>
              </w:rPr>
            </w:pPr>
            <w:r w:rsidDel="00000000" w:rsidR="00000000" w:rsidRPr="00000000">
              <w:rPr>
                <w:rFonts w:ascii="Open Sans" w:cs="Open Sans" w:eastAsia="Open Sans" w:hAnsi="Open Sans"/>
                <w:i w:val="1"/>
                <w:color w:val="555555"/>
                <w:sz w:val="24"/>
                <w:szCs w:val="24"/>
                <w:rtl w:val="0"/>
              </w:rPr>
              <w:t xml:space="preserve">"Dans une économie de marché, les prix des biens et des services peuvent toujours changer. Certains prix augmentent, d'autres baissent. L'inflation se produit lorsqu'il y a </w:t>
            </w:r>
            <w:r w:rsidDel="00000000" w:rsidR="00000000" w:rsidRPr="00000000">
              <w:rPr>
                <w:rFonts w:ascii="Open Sans" w:cs="Open Sans" w:eastAsia="Open Sans" w:hAnsi="Open Sans"/>
                <w:b w:val="1"/>
                <w:i w:val="1"/>
                <w:color w:val="555555"/>
                <w:sz w:val="24"/>
                <w:szCs w:val="24"/>
                <w:rtl w:val="0"/>
              </w:rPr>
              <w:t xml:space="preserve">une augmentation générale des prix des biens et des services</w:t>
            </w:r>
            <w:r w:rsidDel="00000000" w:rsidR="00000000" w:rsidRPr="00000000">
              <w:rPr>
                <w:rFonts w:ascii="Open Sans" w:cs="Open Sans" w:eastAsia="Open Sans" w:hAnsi="Open Sans"/>
                <w:i w:val="1"/>
                <w:color w:val="555555"/>
                <w:sz w:val="24"/>
                <w:szCs w:val="24"/>
                <w:rtl w:val="0"/>
              </w:rPr>
              <w:t xml:space="preserve">, et pas seulement des articles individuels ; cela signifie que vous pouvez acheter moins pour 1 € aujourd'hui que vous ne pouviez le faire hier. En d'autres termes, </w:t>
            </w:r>
            <w:r w:rsidDel="00000000" w:rsidR="00000000" w:rsidRPr="00000000">
              <w:rPr>
                <w:rFonts w:ascii="Open Sans" w:cs="Open Sans" w:eastAsia="Open Sans" w:hAnsi="Open Sans"/>
                <w:b w:val="1"/>
                <w:i w:val="1"/>
                <w:color w:val="555555"/>
                <w:sz w:val="24"/>
                <w:szCs w:val="24"/>
                <w:rtl w:val="0"/>
              </w:rPr>
              <w:t xml:space="preserve">l'inflation réduit la valeur de la monnaie au fil du temps</w:t>
            </w:r>
            <w:r w:rsidDel="00000000" w:rsidR="00000000" w:rsidRPr="00000000">
              <w:rPr>
                <w:rFonts w:ascii="Open Sans" w:cs="Open Sans" w:eastAsia="Open Sans" w:hAnsi="Open Sans"/>
                <w:i w:val="1"/>
                <w:color w:val="555555"/>
                <w:sz w:val="24"/>
                <w:szCs w:val="24"/>
                <w:rtl w:val="0"/>
              </w:rPr>
              <w:t xml:space="preserve">.</w:t>
            </w:r>
            <w:r w:rsidDel="00000000" w:rsidR="00000000" w:rsidRPr="00000000">
              <w:rPr>
                <w:rtl w:val="0"/>
              </w:rPr>
            </w:r>
          </w:p>
          <w:p w:rsidR="00000000" w:rsidDel="00000000" w:rsidP="00000000" w:rsidRDefault="00000000" w:rsidRPr="00000000" w14:paraId="000000F5">
            <w:pPr>
              <w:widowControl w:val="1"/>
              <w:jc w:val="both"/>
              <w:rPr>
                <w:rFonts w:ascii="Times New Roman" w:cs="Times New Roman" w:eastAsia="Times New Roman" w:hAnsi="Times New Roman"/>
                <w:sz w:val="16"/>
                <w:szCs w:val="16"/>
              </w:rPr>
            </w:pPr>
            <w:r w:rsidDel="00000000" w:rsidR="00000000" w:rsidRPr="00000000">
              <w:rPr>
                <w:rFonts w:ascii="Open Sans" w:cs="Open Sans" w:eastAsia="Open Sans" w:hAnsi="Open Sans"/>
                <w:i w:val="1"/>
                <w:color w:val="555555"/>
                <w:sz w:val="24"/>
                <w:szCs w:val="24"/>
                <w:rtl w:val="0"/>
              </w:rPr>
              <w:t xml:space="preserve">(...)</w:t>
            </w:r>
            <w:r w:rsidDel="00000000" w:rsidR="00000000" w:rsidRPr="00000000">
              <w:rPr>
                <w:rtl w:val="0"/>
              </w:rPr>
            </w:r>
          </w:p>
          <w:p w:rsidR="00000000" w:rsidDel="00000000" w:rsidP="00000000" w:rsidRDefault="00000000" w:rsidRPr="00000000" w14:paraId="000000F6">
            <w:pPr>
              <w:widowControl w:val="1"/>
              <w:jc w:val="both"/>
              <w:rPr>
                <w:rFonts w:ascii="Calibri" w:cs="Calibri" w:eastAsia="Calibri" w:hAnsi="Calibri"/>
                <w:sz w:val="24"/>
                <w:szCs w:val="24"/>
              </w:rPr>
            </w:pPr>
            <w:r w:rsidDel="00000000" w:rsidR="00000000" w:rsidRPr="00000000">
              <w:rPr>
                <w:rFonts w:ascii="Open Sans" w:cs="Open Sans" w:eastAsia="Open Sans" w:hAnsi="Open Sans"/>
                <w:i w:val="1"/>
                <w:color w:val="555555"/>
                <w:sz w:val="24"/>
                <w:szCs w:val="24"/>
                <w:rtl w:val="0"/>
              </w:rPr>
              <w:t xml:space="preserve">L'ensemble des biens et services consommés par les ménages au cours de l'année est représenté par un </w:t>
            </w:r>
            <w:r w:rsidDel="00000000" w:rsidR="00000000" w:rsidRPr="00000000">
              <w:rPr>
                <w:rFonts w:ascii="Open Sans" w:cs="Open Sans" w:eastAsia="Open Sans" w:hAnsi="Open Sans"/>
                <w:b w:val="1"/>
                <w:i w:val="1"/>
                <w:color w:val="555555"/>
                <w:sz w:val="24"/>
                <w:szCs w:val="24"/>
                <w:rtl w:val="0"/>
              </w:rPr>
              <w:t xml:space="preserve">"panier" d'articles</w:t>
            </w:r>
            <w:r w:rsidDel="00000000" w:rsidR="00000000" w:rsidRPr="00000000">
              <w:rPr>
                <w:rFonts w:ascii="Open Sans" w:cs="Open Sans" w:eastAsia="Open Sans" w:hAnsi="Open Sans"/>
                <w:i w:val="1"/>
                <w:color w:val="555555"/>
                <w:sz w:val="24"/>
                <w:szCs w:val="24"/>
                <w:rtl w:val="0"/>
              </w:rPr>
              <w:t xml:space="preserve">. Chaque produit de ce panier a un prix, qui peut varier dans le temps. Le taux d'inflation annuel est le prix du panier total au cours d'un mois donné par rapport à son prix au cours du même mois un an auparavant".</w:t>
            </w:r>
            <w:r w:rsidDel="00000000" w:rsidR="00000000" w:rsidRPr="00000000">
              <w:rPr>
                <w:rtl w:val="0"/>
              </w:rPr>
            </w:r>
          </w:p>
          <w:p w:rsidR="00000000" w:rsidDel="00000000" w:rsidP="00000000" w:rsidRDefault="00000000" w:rsidRPr="00000000" w14:paraId="000000F7">
            <w:pPr>
              <w:widowControl w:val="1"/>
              <w:jc w:val="both"/>
              <w:rPr>
                <w:rFonts w:ascii="Open Sans" w:cs="Open Sans" w:eastAsia="Open Sans" w:hAnsi="Open Sans"/>
                <w:color w:val="555555"/>
                <w:sz w:val="24"/>
                <w:szCs w:val="24"/>
              </w:rPr>
            </w:pPr>
            <w:r w:rsidDel="00000000" w:rsidR="00000000" w:rsidRPr="00000000">
              <w:rPr>
                <w:rtl w:val="0"/>
              </w:rPr>
            </w:r>
          </w:p>
          <w:p w:rsidR="00000000" w:rsidDel="00000000" w:rsidP="00000000" w:rsidRDefault="00000000" w:rsidRPr="00000000" w14:paraId="000000F8">
            <w:pPr>
              <w:widowControl w:val="1"/>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9">
            <w:pPr>
              <w:widowControl w:val="1"/>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rtl w:val="0"/>
              </w:rPr>
              <w:t xml:space="preserve">Source: </w:t>
            </w:r>
            <w:hyperlink r:id="rId18">
              <w:r w:rsidDel="00000000" w:rsidR="00000000" w:rsidRPr="00000000">
                <w:rPr>
                  <w:rFonts w:ascii="Calibri" w:cs="Calibri" w:eastAsia="Calibri" w:hAnsi="Calibri"/>
                  <w:color w:val="000000"/>
                  <w:sz w:val="24"/>
                  <w:szCs w:val="24"/>
                  <w:u w:val="single"/>
                  <w:rtl w:val="0"/>
                </w:rPr>
                <w:t xml:space="preserve">European Central Bank</w:t>
              </w:r>
            </w:hyperlink>
            <w:r w:rsidDel="00000000" w:rsidR="00000000" w:rsidRPr="00000000">
              <w:rPr>
                <w:rtl w:val="0"/>
              </w:rPr>
            </w:r>
          </w:p>
          <w:p w:rsidR="00000000" w:rsidDel="00000000" w:rsidP="00000000" w:rsidRDefault="00000000" w:rsidRPr="00000000" w14:paraId="000000F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jc w:val="both"/>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2 : Tableau de bord de l'inflation</w:t>
            </w:r>
          </w:p>
          <w:p w:rsidR="00000000" w:rsidDel="00000000" w:rsidP="00000000" w:rsidRDefault="00000000" w:rsidRPr="00000000" w14:paraId="000000F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L'inflation des prix à la consommation dans la zone euro est mesurée par l'indice des prix à la consommation harmonisé (IPCH).</w:t>
            </w:r>
          </w:p>
          <w:p w:rsidR="00000000" w:rsidDel="00000000" w:rsidP="00000000" w:rsidRDefault="00000000" w:rsidRPr="00000000" w14:paraId="000000F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Qui calcule l'IPCH ?</w:t>
            </w:r>
          </w:p>
          <w:p w:rsidR="00000000" w:rsidDel="00000000" w:rsidP="00000000" w:rsidRDefault="00000000" w:rsidRPr="00000000" w14:paraId="00000101">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Eurostat</w:t>
            </w:r>
            <w:r w:rsidDel="00000000" w:rsidR="00000000" w:rsidRPr="00000000">
              <w:rPr>
                <w:rFonts w:ascii="Calibri" w:cs="Calibri" w:eastAsia="Calibri" w:hAnsi="Calibri"/>
                <w:sz w:val="24"/>
                <w:szCs w:val="24"/>
                <w:rtl w:val="0"/>
              </w:rPr>
              <w:t xml:space="preserve">, l'Office statistique des Communautés européennes</w:t>
            </w:r>
          </w:p>
          <w:p w:rsidR="00000000" w:rsidDel="00000000" w:rsidP="00000000" w:rsidRDefault="00000000" w:rsidRPr="00000000" w14:paraId="0000010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dernières données de l'IPCH et les mises à jour futures sont accessibles via le lien </w:t>
            </w:r>
            <w:hyperlink r:id="rId19">
              <w:r w:rsidDel="00000000" w:rsidR="00000000" w:rsidRPr="00000000">
                <w:rPr>
                  <w:rFonts w:ascii="Calibri" w:cs="Calibri" w:eastAsia="Calibri" w:hAnsi="Calibri"/>
                  <w:sz w:val="24"/>
                  <w:szCs w:val="24"/>
                  <w:u w:val="single"/>
                  <w:rtl w:val="0"/>
                </w:rPr>
                <w:t xml:space="preserve">www.ecb.europa.eu/inflation/stats</w:t>
              </w:r>
            </w:hyperlink>
            <w:r w:rsidDel="00000000" w:rsidR="00000000" w:rsidRPr="00000000">
              <w:rPr>
                <w:rtl w:val="0"/>
              </w:rPr>
            </w:r>
          </w:p>
          <w:p w:rsidR="00000000" w:rsidDel="00000000" w:rsidP="00000000" w:rsidRDefault="00000000" w:rsidRPr="00000000" w14:paraId="0000010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jc w:val="both"/>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3 : Pourquoi c'est important</w:t>
            </w:r>
          </w:p>
          <w:p w:rsidR="00000000" w:rsidDel="00000000" w:rsidP="00000000" w:rsidRDefault="00000000" w:rsidRPr="00000000" w14:paraId="0000010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L'inflation a un impact considérable sur l'économie. Elle affecte le pouvoir d'achat des particuliers, les investissements des entreprises, les taux d'intérêt, les politiques fiscales, les programmes gouvernementaux, la dette nationale et d'autres aspects encore.</w:t>
            </w:r>
          </w:p>
          <w:p w:rsidR="00000000" w:rsidDel="00000000" w:rsidP="00000000" w:rsidRDefault="00000000" w:rsidRPr="00000000" w14:paraId="0000010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Pourquoi l'augmentation de l'inflation est-elle importante pour une femme entrepreneur numérique ?</w:t>
            </w:r>
            <w:r w:rsidDel="00000000" w:rsidR="00000000" w:rsidRPr="00000000">
              <w:rPr>
                <w:rtl w:val="0"/>
              </w:rPr>
            </w:r>
          </w:p>
          <w:p w:rsidR="00000000" w:rsidDel="00000000" w:rsidP="00000000" w:rsidRDefault="00000000" w:rsidRPr="00000000" w14:paraId="0000010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Augmentation des coûts </w:t>
            </w:r>
            <w:r w:rsidDel="00000000" w:rsidR="00000000" w:rsidRPr="00000000">
              <w:rPr>
                <w:rFonts w:ascii="Calibri" w:cs="Calibri" w:eastAsia="Calibri" w:hAnsi="Calibri"/>
                <w:sz w:val="24"/>
                <w:szCs w:val="24"/>
                <w:rtl w:val="0"/>
              </w:rPr>
              <w:t xml:space="preserve">en général</w:t>
            </w:r>
          </w:p>
          <w:p w:rsidR="00000000" w:rsidDel="00000000" w:rsidP="00000000" w:rsidRDefault="00000000" w:rsidRPr="00000000" w14:paraId="0000010C">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Baisse du pouvoir d'achat</w:t>
            </w:r>
            <w:r w:rsidDel="00000000" w:rsidR="00000000" w:rsidRPr="00000000">
              <w:rPr>
                <w:rtl w:val="0"/>
              </w:rPr>
            </w:r>
          </w:p>
          <w:p w:rsidR="00000000" w:rsidDel="00000000" w:rsidP="00000000" w:rsidRDefault="00000000" w:rsidRPr="00000000" w14:paraId="0000010D">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Augmentation des taux d'intérêt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Augmentation des difficultés de financement.</w:t>
            </w:r>
            <w:r w:rsidDel="00000000" w:rsidR="00000000" w:rsidRPr="00000000">
              <w:rPr>
                <w:rtl w:val="0"/>
              </w:rPr>
            </w:r>
          </w:p>
          <w:p w:rsidR="00000000" w:rsidDel="00000000" w:rsidP="00000000" w:rsidRDefault="00000000" w:rsidRPr="00000000" w14:paraId="0000010E">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Difficultés de tarification </w:t>
            </w:r>
            <w:r w:rsidDel="00000000" w:rsidR="00000000" w:rsidRPr="00000000">
              <w:rPr>
                <w:rFonts w:ascii="Calibri" w:cs="Calibri" w:eastAsia="Calibri" w:hAnsi="Calibri"/>
                <w:sz w:val="24"/>
                <w:szCs w:val="24"/>
                <w:rtl w:val="0"/>
              </w:rPr>
              <w:t xml:space="preserve">qui entraînent des augmentations - parce que </w:t>
            </w:r>
            <w:r w:rsidDel="00000000" w:rsidR="00000000" w:rsidRPr="00000000">
              <w:rPr>
                <w:rFonts w:ascii="Calibri" w:cs="Calibri" w:eastAsia="Calibri" w:hAnsi="Calibri"/>
                <w:b w:val="1"/>
                <w:sz w:val="24"/>
                <w:szCs w:val="24"/>
                <w:rtl w:val="0"/>
              </w:rPr>
              <w:t xml:space="preserve">l'inflation est un levier de prix</w:t>
            </w:r>
            <w:r w:rsidDel="00000000" w:rsidR="00000000" w:rsidRPr="00000000">
              <w:rPr>
                <w:rtl w:val="0"/>
              </w:rPr>
            </w:r>
          </w:p>
          <w:p w:rsidR="00000000" w:rsidDel="00000000" w:rsidP="00000000" w:rsidRDefault="00000000" w:rsidRPr="00000000" w14:paraId="0000010F">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Incertitude macroéconomique globale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Calibri" w:cs="Calibri" w:eastAsia="Calibri" w:hAnsi="Calibri"/>
                <w:sz w:val="24"/>
                <w:szCs w:val="24"/>
                <w:rtl w:val="0"/>
              </w:rPr>
              <w:t xml:space="preserve"> réduction de l'activité économique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stockage de la croissance économique.</w:t>
            </w:r>
            <w:r w:rsidDel="00000000" w:rsidR="00000000" w:rsidRPr="00000000">
              <w:rPr>
                <w:rtl w:val="0"/>
              </w:rPr>
            </w:r>
          </w:p>
          <w:p w:rsidR="00000000" w:rsidDel="00000000" w:rsidP="00000000" w:rsidRDefault="00000000" w:rsidRPr="00000000" w14:paraId="0000011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jc w:val="both"/>
              <w:rPr>
                <w:rFonts w:ascii="Calibri" w:cs="Calibri" w:eastAsia="Calibri" w:hAnsi="Calibri"/>
                <w:i w:val="1"/>
                <w:color w:val="cc00cc"/>
                <w:sz w:val="24"/>
                <w:szCs w:val="24"/>
              </w:rPr>
            </w:pPr>
            <w:r w:rsidDel="00000000" w:rsidR="00000000" w:rsidRPr="00000000">
              <w:rPr>
                <w:rFonts w:ascii="Calibri" w:cs="Calibri" w:eastAsia="Calibri" w:hAnsi="Calibri"/>
                <w:i w:val="1"/>
                <w:color w:val="cc00cc"/>
                <w:sz w:val="24"/>
                <w:szCs w:val="24"/>
                <w:rtl w:val="0"/>
              </w:rPr>
              <w:t xml:space="preserve">Section 4 : Comment la gérer - bonnes pratiques</w:t>
            </w:r>
          </w:p>
          <w:p w:rsidR="00000000" w:rsidDel="00000000" w:rsidP="00000000" w:rsidRDefault="00000000" w:rsidRPr="00000000" w14:paraId="0000011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principaux acteurs de la lutte contre l'inflation sont les banques centrales - la Banque centrale européenne (BCE) dans le cas de l'Europe - et les gouvernements centraux, qui disposent d'un certain nombre d'outils de politique monétaire.</w:t>
            </w:r>
          </w:p>
          <w:p w:rsidR="00000000" w:rsidDel="00000000" w:rsidP="00000000" w:rsidRDefault="00000000" w:rsidRPr="00000000" w14:paraId="0000011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Cependant, </w:t>
            </w:r>
            <w:r w:rsidDel="00000000" w:rsidR="00000000" w:rsidRPr="00000000">
              <w:rPr>
                <w:rFonts w:ascii="Calibri" w:cs="Calibri" w:eastAsia="Calibri" w:hAnsi="Calibri"/>
                <w:b w:val="1"/>
                <w:sz w:val="24"/>
                <w:szCs w:val="24"/>
                <w:rtl w:val="0"/>
              </w:rPr>
              <w:t xml:space="preserve">que peut faire un entrepreneur </w:t>
            </w:r>
            <w:r w:rsidDel="00000000" w:rsidR="00000000" w:rsidRPr="00000000">
              <w:rPr>
                <w:rFonts w:ascii="Calibri" w:cs="Calibri" w:eastAsia="Calibri" w:hAnsi="Calibri"/>
                <w:sz w:val="24"/>
                <w:szCs w:val="24"/>
                <w:rtl w:val="0"/>
              </w:rPr>
              <w:t xml:space="preserve">à sa manière pour faire face à l'inflation à court terme, pour assurer la croissance continue de l'entreprise et pour que l'augmentation des coûts ne pèse pas sur les prix - en les augmentant - et donc sur le consommateur final ? Alors, </w:t>
            </w:r>
            <w:r w:rsidDel="00000000" w:rsidR="00000000" w:rsidRPr="00000000">
              <w:rPr>
                <w:rFonts w:ascii="Calibri" w:cs="Calibri" w:eastAsia="Calibri" w:hAnsi="Calibri"/>
                <w:b w:val="1"/>
                <w:sz w:val="24"/>
                <w:szCs w:val="24"/>
                <w:rtl w:val="0"/>
              </w:rPr>
              <w:t xml:space="preserve">que peut-elle faire pour gérer l'inflation ?</w:t>
            </w:r>
          </w:p>
          <w:p w:rsidR="00000000" w:rsidDel="00000000" w:rsidP="00000000" w:rsidRDefault="00000000" w:rsidRPr="00000000" w14:paraId="00000116">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Meilleure pratique : SHRINKFLATION</w:t>
            </w:r>
          </w:p>
          <w:p w:rsidR="00000000" w:rsidDel="00000000" w:rsidP="00000000" w:rsidRDefault="00000000" w:rsidRPr="00000000" w14:paraId="00000118">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Shrinkflation : même prix, même emballage, mais moins de produit à l'intérieur. Il s'agit d'une stratégie choisie par certaines entreprises afin de ne pas faire percevoir aux consommateurs l'augmentation des prix due à l'inflation et d'éviter une baisse des dépenses et de la consommation.</w:t>
            </w:r>
          </w:p>
          <w:p w:rsidR="00000000" w:rsidDel="00000000" w:rsidP="00000000" w:rsidRDefault="00000000" w:rsidRPr="00000000" w14:paraId="0000011A">
            <w:pPr>
              <w:jc w:val="both"/>
              <w:rPr>
                <w:rFonts w:ascii="Calibri" w:cs="Calibri" w:eastAsia="Calibri" w:hAnsi="Calibri"/>
                <w:i w:val="1"/>
                <w:color w:val="cc00cc"/>
                <w:sz w:val="24"/>
                <w:szCs w:val="24"/>
              </w:rPr>
            </w:pPr>
            <w:r w:rsidDel="00000000" w:rsidR="00000000" w:rsidRPr="00000000">
              <w:rPr>
                <w:rtl w:val="0"/>
              </w:rPr>
            </w:r>
          </w:p>
          <w:p w:rsidR="00000000" w:rsidDel="00000000" w:rsidP="00000000" w:rsidRDefault="00000000" w:rsidRPr="00000000" w14:paraId="0000011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C">
            <w:pPr>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114300" distR="114300">
                  <wp:extent cx="2080260" cy="1104900"/>
                  <wp:effectExtent b="0" l="0" r="0" t="0"/>
                  <wp:docPr id="245" name="image2.jpg"/>
                  <a:graphic>
                    <a:graphicData uri="http://schemas.openxmlformats.org/drawingml/2006/picture">
                      <pic:pic>
                        <pic:nvPicPr>
                          <pic:cNvPr id="0" name="image2.jpg"/>
                          <pic:cNvPicPr preferRelativeResize="0"/>
                        </pic:nvPicPr>
                        <pic:blipFill>
                          <a:blip r:embed="rId20"/>
                          <a:srcRect b="15469" l="24183" r="18954" t="25272"/>
                          <a:stretch>
                            <a:fillRect/>
                          </a:stretch>
                        </pic:blipFill>
                        <pic:spPr>
                          <a:xfrm>
                            <a:off x="0" y="0"/>
                            <a:ext cx="208026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E">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Avant : </w:t>
            </w:r>
            <w:r w:rsidDel="00000000" w:rsidR="00000000" w:rsidRPr="00000000">
              <w:rPr>
                <w:rFonts w:ascii="Calibri" w:cs="Calibri" w:eastAsia="Calibri" w:hAnsi="Calibri"/>
                <w:b w:val="1"/>
                <w:sz w:val="24"/>
                <w:szCs w:val="24"/>
                <w:rtl w:val="0"/>
              </w:rPr>
              <w:t xml:space="preserve">500g 🡪 €2</w:t>
            </w:r>
          </w:p>
          <w:p w:rsidR="00000000" w:rsidDel="00000000" w:rsidP="00000000" w:rsidRDefault="00000000" w:rsidRPr="00000000" w14:paraId="000001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Après : </w:t>
            </w:r>
            <w:r w:rsidDel="00000000" w:rsidR="00000000" w:rsidRPr="00000000">
              <w:rPr>
                <w:rFonts w:ascii="Calibri" w:cs="Calibri" w:eastAsia="Calibri" w:hAnsi="Calibri"/>
                <w:b w:val="1"/>
                <w:sz w:val="24"/>
                <w:szCs w:val="24"/>
                <w:rtl w:val="0"/>
              </w:rPr>
              <w:t xml:space="preserve">440g 🡪 €2</w:t>
            </w:r>
            <w:r w:rsidDel="00000000" w:rsidR="00000000" w:rsidRPr="00000000">
              <w:rPr>
                <w:rtl w:val="0"/>
              </w:rPr>
            </w:r>
          </w:p>
          <w:p w:rsidR="00000000" w:rsidDel="00000000" w:rsidP="00000000" w:rsidRDefault="00000000" w:rsidRPr="00000000" w14:paraId="0000012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2">
            <w:pPr>
              <w:jc w:val="both"/>
              <w:rPr>
                <w:rFonts w:ascii="Calibri" w:cs="Calibri" w:eastAsia="Calibri" w:hAnsi="Calibri"/>
                <w:b w:val="1"/>
                <w:color w:val="cc00cc"/>
                <w:sz w:val="28"/>
                <w:szCs w:val="28"/>
              </w:rPr>
            </w:pPr>
            <w:r w:rsidDel="00000000" w:rsidR="00000000" w:rsidRPr="00000000">
              <w:rPr>
                <w:rFonts w:ascii="Calibri" w:cs="Calibri" w:eastAsia="Calibri" w:hAnsi="Calibri"/>
                <w:b w:val="1"/>
                <w:color w:val="cc00cc"/>
                <w:sz w:val="28"/>
                <w:szCs w:val="28"/>
                <w:rtl w:val="0"/>
              </w:rPr>
              <w:t xml:space="preserve">En résumé</w:t>
            </w:r>
          </w:p>
          <w:p w:rsidR="00000000" w:rsidDel="00000000" w:rsidP="00000000" w:rsidRDefault="00000000" w:rsidRPr="00000000" w14:paraId="00000123">
            <w:pPr>
              <w:jc w:val="both"/>
              <w:rPr>
                <w:rFonts w:ascii="Calibri" w:cs="Calibri" w:eastAsia="Calibri" w:hAnsi="Calibri"/>
                <w:b w:val="1"/>
                <w:color w:val="cc00cc"/>
                <w:sz w:val="28"/>
                <w:szCs w:val="28"/>
              </w:rPr>
            </w:pPr>
            <w:r w:rsidDel="00000000" w:rsidR="00000000" w:rsidRPr="00000000">
              <w:rPr>
                <w:rtl w:val="0"/>
              </w:rPr>
            </w:r>
          </w:p>
          <w:p w:rsidR="00000000" w:rsidDel="00000000" w:rsidP="00000000" w:rsidRDefault="00000000" w:rsidRPr="00000000" w14:paraId="00000124">
            <w:pPr>
              <w:jc w:val="both"/>
              <w:rPr>
                <w:rFonts w:ascii="Calibri" w:cs="Calibri" w:eastAsia="Calibri" w:hAnsi="Calibri"/>
                <w:sz w:val="24"/>
                <w:szCs w:val="24"/>
              </w:rPr>
            </w:pPr>
            <w:r w:rsidDel="00000000" w:rsidR="00000000" w:rsidRPr="00000000">
              <w:rPr>
                <w:rtl w:val="0"/>
              </w:rPr>
              <w:t xml:space="preserve">*</w:t>
            </w:r>
            <w:r w:rsidDel="00000000" w:rsidR="00000000" w:rsidRPr="00000000">
              <w:rPr>
                <w:rFonts w:ascii="Calibri" w:cs="Calibri" w:eastAsia="Calibri" w:hAnsi="Calibri"/>
                <w:b w:val="1"/>
                <w:sz w:val="24"/>
                <w:szCs w:val="24"/>
                <w:rtl w:val="0"/>
              </w:rPr>
              <w:t xml:space="preserve">Financement</w:t>
            </w:r>
            <w:r w:rsidDel="00000000" w:rsidR="00000000" w:rsidRPr="00000000">
              <w:rPr>
                <w:rFonts w:ascii="Calibri" w:cs="Calibri" w:eastAsia="Calibri" w:hAnsi="Calibri"/>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Calibri" w:cs="Calibri" w:eastAsia="Calibri" w:hAnsi="Calibri"/>
                <w:sz w:val="24"/>
                <w:szCs w:val="24"/>
                <w:rtl w:val="0"/>
              </w:rPr>
              <w:t xml:space="preserve"> Accès au financement / Coût du financement / Intérêt / Taux d'intérêt / Financement par l'emprunt / Financement par fonds propres / Women TechEU</w:t>
            </w:r>
          </w:p>
          <w:p w:rsidR="00000000" w:rsidDel="00000000" w:rsidP="00000000" w:rsidRDefault="00000000" w:rsidRPr="00000000" w14:paraId="0000012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jc w:val="both"/>
              <w:rPr>
                <w:rFonts w:ascii="Calibri" w:cs="Calibri" w:eastAsia="Calibri" w:hAnsi="Calibri"/>
                <w:sz w:val="24"/>
                <w:szCs w:val="24"/>
              </w:rPr>
            </w:pPr>
            <w:r w:rsidDel="00000000" w:rsidR="00000000" w:rsidRPr="00000000">
              <w:rPr>
                <w:rtl w:val="0"/>
              </w:rPr>
              <w:t xml:space="preserve">*</w:t>
            </w:r>
            <w:r w:rsidDel="00000000" w:rsidR="00000000" w:rsidRPr="00000000">
              <w:rPr>
                <w:rFonts w:ascii="Calibri" w:cs="Calibri" w:eastAsia="Calibri" w:hAnsi="Calibri"/>
                <w:b w:val="1"/>
                <w:sz w:val="24"/>
                <w:szCs w:val="24"/>
                <w:rtl w:val="0"/>
              </w:rPr>
              <w:t xml:space="preserve">Inflation</w:t>
            </w:r>
            <w:r w:rsidDel="00000000" w:rsidR="00000000" w:rsidRPr="00000000">
              <w:rPr>
                <w:rFonts w:ascii="Calibri" w:cs="Calibri" w:eastAsia="Calibri" w:hAnsi="Calibri"/>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Calibri" w:cs="Calibri" w:eastAsia="Calibri" w:hAnsi="Calibri"/>
                <w:sz w:val="24"/>
                <w:szCs w:val="24"/>
                <w:rtl w:val="0"/>
              </w:rPr>
              <w:t xml:space="preserve"> Augmentation / Prix / Pouvoir d'achat / Banque centrale européenne / Eurostat / IPCH / Shrinkflation</w:t>
            </w:r>
          </w:p>
          <w:p w:rsidR="00000000" w:rsidDel="00000000" w:rsidP="00000000" w:rsidRDefault="00000000" w:rsidRPr="00000000" w14:paraId="00000127">
            <w:pPr>
              <w:jc w:val="both"/>
              <w:rPr>
                <w:rFonts w:ascii="Calibri" w:cs="Calibri" w:eastAsia="Calibri" w:hAnsi="Calibri"/>
                <w:b w:val="1"/>
                <w:color w:val="cc00cc"/>
                <w:sz w:val="28"/>
                <w:szCs w:val="28"/>
              </w:rPr>
            </w:pPr>
            <w:r w:rsidDel="00000000" w:rsidR="00000000" w:rsidRPr="00000000">
              <w:rPr>
                <w:rtl w:val="0"/>
              </w:rPr>
            </w:r>
          </w:p>
        </w:tc>
      </w:tr>
      <w:tr>
        <w:trPr>
          <w:cantSplit w:val="0"/>
          <w:trHeight w:val="1275"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2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Glossaire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rHeight w:val="6566"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2C">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Auto-évaluation (questions et réponses à choix multiples)</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Pour un allongement de la durée de financement, quel est le rapport entre les deux formes d'intérêt ?</w:t>
            </w:r>
          </w:p>
          <w:p w:rsidR="00000000" w:rsidDel="00000000" w:rsidP="00000000" w:rsidRDefault="00000000" w:rsidRPr="00000000" w14:paraId="0000012E">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CI = SI</w:t>
            </w:r>
          </w:p>
          <w:p w:rsidR="00000000" w:rsidDel="00000000" w:rsidP="00000000" w:rsidRDefault="00000000" w:rsidRPr="00000000" w14:paraId="000001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CI &lt; SI</w:t>
            </w:r>
          </w:p>
          <w:p w:rsidR="00000000" w:rsidDel="00000000" w:rsidP="00000000" w:rsidRDefault="00000000" w:rsidRPr="00000000" w14:paraId="0000013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 CI &gt; SI</w:t>
            </w:r>
          </w:p>
          <w:p w:rsidR="00000000" w:rsidDel="00000000" w:rsidP="00000000" w:rsidRDefault="00000000" w:rsidRPr="00000000" w14:paraId="00000132">
            <w:pP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Qui est un emprunteur ?</w:t>
            </w:r>
          </w:p>
          <w:p w:rsidR="00000000" w:rsidDel="00000000" w:rsidP="00000000" w:rsidRDefault="00000000" w:rsidRPr="00000000" w14:paraId="00000134">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un individu, un groupe ou une institution financière qui prête de l'argent dans l'attente d'un remboursement, généralement sans intérêt</w:t>
            </w:r>
          </w:p>
          <w:p w:rsidR="00000000" w:rsidDel="00000000" w:rsidP="00000000" w:rsidRDefault="00000000" w:rsidRPr="00000000" w14:paraId="00000136">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 une personne ou une entité - entreprise - qui obtient de l'argent à crédit, c'est-à-dire avec l'intention de le rendre, généralement avec des intérêts.</w:t>
            </w:r>
            <w:r w:rsidDel="00000000" w:rsidR="00000000" w:rsidRPr="00000000">
              <w:rPr>
                <w:rtl w:val="0"/>
              </w:rPr>
            </w:r>
          </w:p>
          <w:p w:rsidR="00000000" w:rsidDel="00000000" w:rsidP="00000000" w:rsidRDefault="00000000" w:rsidRPr="00000000" w14:paraId="000001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une personne ou une entité - entreprise - qui obtient de l'argent à crédit, c'est-à-dire avec l'intention de le rendre, généralement sans intérêt.</w:t>
            </w:r>
          </w:p>
          <w:p w:rsidR="00000000" w:rsidDel="00000000" w:rsidP="00000000" w:rsidRDefault="00000000" w:rsidRPr="00000000" w14:paraId="00000138">
            <w:pP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Comment appelle-t-on la méthode de financement d'un projet ou d'une entreprise par la collecte d'argent auprès de nombreuses personnes qui fournissent un petit compte, avec une "campagne" en ligne ?</w:t>
            </w:r>
          </w:p>
          <w:p w:rsidR="00000000" w:rsidDel="00000000" w:rsidP="00000000" w:rsidRDefault="00000000" w:rsidRPr="00000000" w14:paraId="0000013A">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Le financement participatif (crowdfunding)</w:t>
            </w:r>
          </w:p>
          <w:p w:rsidR="00000000" w:rsidDel="00000000" w:rsidP="00000000" w:rsidRDefault="00000000" w:rsidRPr="00000000" w14:paraId="000001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L'introduction en bourse (IPO)</w:t>
            </w:r>
          </w:p>
          <w:p w:rsidR="00000000" w:rsidDel="00000000" w:rsidP="00000000" w:rsidRDefault="00000000" w:rsidRPr="00000000" w14:paraId="000001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Les investisseurs providentiels</w:t>
            </w:r>
          </w:p>
          <w:p w:rsidR="00000000" w:rsidDel="00000000" w:rsidP="00000000" w:rsidRDefault="00000000" w:rsidRPr="00000000" w14:paraId="000001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Quelle est la cause d'une hausse généralisée des prix qui réduit la valeur de la monnaie au fil du temps ?</w:t>
            </w:r>
          </w:p>
          <w:p w:rsidR="00000000" w:rsidDel="00000000" w:rsidP="00000000" w:rsidRDefault="00000000" w:rsidRPr="00000000" w14:paraId="00000140">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Stagflation</w:t>
            </w:r>
          </w:p>
          <w:p w:rsidR="00000000" w:rsidDel="00000000" w:rsidP="00000000" w:rsidRDefault="00000000" w:rsidRPr="00000000" w14:paraId="000001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Déflation</w:t>
            </w:r>
          </w:p>
          <w:p w:rsidR="00000000" w:rsidDel="00000000" w:rsidP="00000000" w:rsidRDefault="00000000" w:rsidRPr="00000000" w14:paraId="00000143">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 L'inflation</w:t>
            </w:r>
            <w:r w:rsidDel="00000000" w:rsidR="00000000" w:rsidRPr="00000000">
              <w:rPr>
                <w:rtl w:val="0"/>
              </w:rPr>
            </w:r>
          </w:p>
          <w:p w:rsidR="00000000" w:rsidDel="00000000" w:rsidP="00000000" w:rsidRDefault="00000000" w:rsidRPr="00000000" w14:paraId="00000144">
            <w:pP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En quoi consiste la technique de la contraction ?</w:t>
            </w:r>
          </w:p>
          <w:p w:rsidR="00000000" w:rsidDel="00000000" w:rsidP="00000000" w:rsidRDefault="00000000" w:rsidRPr="00000000" w14:paraId="00000146">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même prix, même quantité</w:t>
            </w:r>
          </w:p>
          <w:p w:rsidR="00000000" w:rsidDel="00000000" w:rsidP="00000000" w:rsidRDefault="00000000" w:rsidRPr="00000000" w14:paraId="000001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moins de prix, même quantité</w:t>
            </w:r>
          </w:p>
          <w:p w:rsidR="00000000" w:rsidDel="00000000" w:rsidP="00000000" w:rsidRDefault="00000000" w:rsidRPr="00000000" w14:paraId="00000149">
            <w:pPr>
              <w:rPr>
                <w:rFonts w:ascii="Calibri" w:cs="Calibri" w:eastAsia="Calibri" w:hAnsi="Calibri"/>
                <w:b w:val="1"/>
                <w:sz w:val="24"/>
                <w:szCs w:val="24"/>
              </w:rPr>
            </w:pPr>
            <w:bookmarkStart w:colFirst="0" w:colLast="0" w:name="_heading=h.30j0zll" w:id="1"/>
            <w:bookmarkEnd w:id="1"/>
            <w:r w:rsidDel="00000000" w:rsidR="00000000" w:rsidRPr="00000000">
              <w:rPr>
                <w:rFonts w:ascii="Calibri" w:cs="Calibri" w:eastAsia="Calibri" w:hAnsi="Calibri"/>
                <w:b w:val="1"/>
                <w:sz w:val="24"/>
                <w:szCs w:val="24"/>
                <w:rtl w:val="0"/>
              </w:rPr>
              <w:t xml:space="preserve">c) même prix, moindre quantité</w:t>
            </w:r>
            <w:r w:rsidDel="00000000" w:rsidR="00000000" w:rsidRPr="00000000">
              <w:rPr>
                <w:rtl w:val="0"/>
              </w:rPr>
            </w:r>
          </w:p>
        </w:tc>
      </w:tr>
      <w:tr>
        <w:trPr>
          <w:cantSplit w:val="0"/>
          <w:trHeight w:val="4440"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4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Bibliographie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rPr>
                <w:rFonts w:ascii="Calibri" w:cs="Calibri" w:eastAsia="Calibri" w:hAnsi="Calibri"/>
                <w:sz w:val="24"/>
                <w:szCs w:val="24"/>
              </w:rPr>
            </w:pPr>
            <w:hyperlink r:id="rId21">
              <w:r w:rsidDel="00000000" w:rsidR="00000000" w:rsidRPr="00000000">
                <w:rPr>
                  <w:rFonts w:ascii="Calibri" w:cs="Calibri" w:eastAsia="Calibri" w:hAnsi="Calibri"/>
                  <w:color w:val="0000ff"/>
                  <w:sz w:val="24"/>
                  <w:szCs w:val="24"/>
                  <w:u w:val="single"/>
                  <w:rtl w:val="0"/>
                </w:rPr>
                <w:t xml:space="preserve">https://www.investopedia.com/terms/c/costofcapital.asp</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4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rPr>
                <w:rFonts w:ascii="Calibri" w:cs="Calibri" w:eastAsia="Calibri" w:hAnsi="Calibri"/>
                <w:sz w:val="24"/>
                <w:szCs w:val="24"/>
              </w:rPr>
            </w:pPr>
            <w:hyperlink r:id="rId22">
              <w:r w:rsidDel="00000000" w:rsidR="00000000" w:rsidRPr="00000000">
                <w:rPr>
                  <w:rFonts w:ascii="Calibri" w:cs="Calibri" w:eastAsia="Calibri" w:hAnsi="Calibri"/>
                  <w:color w:val="0000ff"/>
                  <w:sz w:val="24"/>
                  <w:szCs w:val="24"/>
                  <w:u w:val="single"/>
                  <w:rtl w:val="0"/>
                </w:rPr>
                <w:t xml:space="preserve">https://www.investopedia.com/ask/answers/042215/what-are-benefits-company-using-equity-financing-vs-debt-financing.asp</w:t>
              </w:r>
            </w:hyperlink>
            <w:r w:rsidDel="00000000" w:rsidR="00000000" w:rsidRPr="00000000">
              <w:rPr>
                <w:rtl w:val="0"/>
              </w:rPr>
            </w:r>
          </w:p>
          <w:p w:rsidR="00000000" w:rsidDel="00000000" w:rsidP="00000000" w:rsidRDefault="00000000" w:rsidRPr="00000000" w14:paraId="0000014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0">
            <w:pPr>
              <w:rPr>
                <w:rFonts w:ascii="Calibri" w:cs="Calibri" w:eastAsia="Calibri" w:hAnsi="Calibri"/>
                <w:sz w:val="24"/>
                <w:szCs w:val="24"/>
              </w:rPr>
            </w:pPr>
            <w:hyperlink r:id="rId23">
              <w:r w:rsidDel="00000000" w:rsidR="00000000" w:rsidRPr="00000000">
                <w:rPr>
                  <w:rFonts w:ascii="Calibri" w:cs="Calibri" w:eastAsia="Calibri" w:hAnsi="Calibri"/>
                  <w:color w:val="0000ff"/>
                  <w:sz w:val="24"/>
                  <w:szCs w:val="24"/>
                  <w:u w:val="single"/>
                  <w:rtl w:val="0"/>
                </w:rPr>
                <w:t xml:space="preserve">https://www.rocketlawyer.com/business-and-contracts/business-operations/corporate-finance/legal-guide/grants-vs-loans-whats-the-difference</w:t>
              </w:r>
            </w:hyperlink>
            <w:r w:rsidDel="00000000" w:rsidR="00000000" w:rsidRPr="00000000">
              <w:rPr>
                <w:rtl w:val="0"/>
              </w:rPr>
            </w:r>
          </w:p>
          <w:p w:rsidR="00000000" w:rsidDel="00000000" w:rsidP="00000000" w:rsidRDefault="00000000" w:rsidRPr="00000000" w14:paraId="0000015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2">
            <w:pPr>
              <w:rPr>
                <w:rFonts w:ascii="Calibri" w:cs="Calibri" w:eastAsia="Calibri" w:hAnsi="Calibri"/>
                <w:sz w:val="24"/>
                <w:szCs w:val="24"/>
              </w:rPr>
            </w:pPr>
            <w:hyperlink r:id="rId24">
              <w:r w:rsidDel="00000000" w:rsidR="00000000" w:rsidRPr="00000000">
                <w:rPr>
                  <w:rFonts w:ascii="Calibri" w:cs="Calibri" w:eastAsia="Calibri" w:hAnsi="Calibri"/>
                  <w:color w:val="0000ff"/>
                  <w:sz w:val="24"/>
                  <w:szCs w:val="24"/>
                  <w:u w:val="single"/>
                  <w:rtl w:val="0"/>
                </w:rPr>
                <w:t xml:space="preserve">https://www.wallstreetmojo.com/apr-vs-apy/</w:t>
              </w:r>
            </w:hyperlink>
            <w:r w:rsidDel="00000000" w:rsidR="00000000" w:rsidRPr="00000000">
              <w:rPr>
                <w:rtl w:val="0"/>
              </w:rPr>
            </w:r>
          </w:p>
          <w:p w:rsidR="00000000" w:rsidDel="00000000" w:rsidP="00000000" w:rsidRDefault="00000000" w:rsidRPr="00000000" w14:paraId="0000015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4">
            <w:pPr>
              <w:rPr>
                <w:rFonts w:ascii="Calibri" w:cs="Calibri" w:eastAsia="Calibri" w:hAnsi="Calibri"/>
                <w:sz w:val="24"/>
                <w:szCs w:val="24"/>
              </w:rPr>
            </w:pPr>
            <w:hyperlink r:id="rId25">
              <w:r w:rsidDel="00000000" w:rsidR="00000000" w:rsidRPr="00000000">
                <w:rPr>
                  <w:rFonts w:ascii="Calibri" w:cs="Calibri" w:eastAsia="Calibri" w:hAnsi="Calibri"/>
                  <w:color w:val="0000ff"/>
                  <w:sz w:val="24"/>
                  <w:szCs w:val="24"/>
                  <w:u w:val="single"/>
                  <w:rtl w:val="0"/>
                </w:rPr>
                <w:t xml:space="preserve">https://www.ecb.europa.eu/stats/macroeconomic_and_sectoral/hicp/html/index.en.html</w:t>
              </w:r>
            </w:hyperlink>
            <w:r w:rsidDel="00000000" w:rsidR="00000000" w:rsidRPr="00000000">
              <w:rPr>
                <w:rtl w:val="0"/>
              </w:rPr>
            </w:r>
          </w:p>
          <w:p w:rsidR="00000000" w:rsidDel="00000000" w:rsidP="00000000" w:rsidRDefault="00000000" w:rsidRPr="00000000" w14:paraId="000001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rPr>
                <w:rFonts w:ascii="Calibri" w:cs="Calibri" w:eastAsia="Calibri" w:hAnsi="Calibri"/>
                <w:sz w:val="24"/>
                <w:szCs w:val="24"/>
              </w:rPr>
            </w:pPr>
            <w:hyperlink r:id="rId26">
              <w:r w:rsidDel="00000000" w:rsidR="00000000" w:rsidRPr="00000000">
                <w:rPr>
                  <w:rFonts w:ascii="Calibri" w:cs="Calibri" w:eastAsia="Calibri" w:hAnsi="Calibri"/>
                  <w:color w:val="0000ff"/>
                  <w:sz w:val="24"/>
                  <w:szCs w:val="24"/>
                  <w:u w:val="single"/>
                  <w:rtl w:val="0"/>
                </w:rPr>
                <w:t xml:space="preserve">https://www.pgpf.org/budget-basics/what-is-inflation-and-why-does-it-matter</w:t>
              </w:r>
            </w:hyperlink>
            <w:r w:rsidDel="00000000" w:rsidR="00000000" w:rsidRPr="00000000">
              <w:rPr>
                <w:rtl w:val="0"/>
              </w:rPr>
            </w:r>
          </w:p>
        </w:tc>
      </w:tr>
      <w:tr>
        <w:trPr>
          <w:cantSplit w:val="0"/>
          <w:trHeight w:val="1389" w:hRule="atLeast"/>
          <w:tblHeader w:val="0"/>
        </w:trPr>
        <w:tc>
          <w:tcPr>
            <w:tcBorders>
              <w:top w:color="000000" w:space="0" w:sz="4" w:val="single"/>
              <w:left w:color="000000" w:space="0" w:sz="4" w:val="single"/>
              <w:bottom w:color="000000" w:space="0" w:sz="4" w:val="single"/>
              <w:right w:color="000000" w:space="0" w:sz="4" w:val="single"/>
            </w:tcBorders>
            <w:shd w:fill="93268f" w:val="clear"/>
            <w:vAlign w:val="center"/>
          </w:tcPr>
          <w:p w:rsidR="00000000" w:rsidDel="00000000" w:rsidP="00000000" w:rsidRDefault="00000000" w:rsidRPr="00000000" w14:paraId="0000015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Ressources (vidéos, lien de référence)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rPr>
                <w:rFonts w:ascii="Calibri" w:cs="Calibri" w:eastAsia="Calibri" w:hAnsi="Calibri"/>
                <w:color w:val="243255"/>
                <w:sz w:val="24"/>
                <w:szCs w:val="24"/>
              </w:rPr>
            </w:pPr>
            <w:r w:rsidDel="00000000" w:rsidR="00000000" w:rsidRPr="00000000">
              <w:rPr>
                <w:rFonts w:ascii="Calibri" w:cs="Calibri" w:eastAsia="Calibri" w:hAnsi="Calibri"/>
                <w:color w:val="243255"/>
                <w:sz w:val="24"/>
                <w:szCs w:val="24"/>
                <w:rtl w:val="0"/>
              </w:rPr>
              <w:t xml:space="preserve">/</w:t>
            </w:r>
          </w:p>
        </w:tc>
      </w:tr>
    </w:tbl>
    <w:p w:rsidR="00000000" w:rsidDel="00000000" w:rsidP="00000000" w:rsidRDefault="00000000" w:rsidRPr="00000000" w14:paraId="0000015B">
      <w:pPr>
        <w:rPr>
          <w:rFonts w:ascii="Calibri" w:cs="Calibri" w:eastAsia="Calibri" w:hAnsi="Calibri"/>
          <w:sz w:val="24"/>
          <w:szCs w:val="24"/>
        </w:rPr>
      </w:pPr>
      <w:r w:rsidDel="00000000" w:rsidR="00000000" w:rsidRPr="00000000">
        <w:rPr>
          <w:rtl w:val="0"/>
        </w:rPr>
      </w:r>
    </w:p>
    <w:sectPr>
      <w:headerReference r:id="rId27" w:type="default"/>
      <w:headerReference r:id="rId28" w:type="first"/>
      <w:headerReference r:id="rId29" w:type="even"/>
      <w:footerReference r:id="rId30" w:type="default"/>
      <w:footerReference r:id="rId31" w:type="first"/>
      <w:footerReference r:id="rId32" w:type="even"/>
      <w:pgSz w:h="16850" w:w="1191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M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8.00000000000006" w:lineRule="auto"/>
      <w:ind w:left="2081" w:right="106" w:firstLine="0"/>
      <w:rPr>
        <w:color w:val="000000"/>
        <w:sz w:val="13"/>
        <w:szCs w:val="13"/>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78.00000000000006" w:lineRule="auto"/>
      <w:ind w:left="2081" w:right="106" w:firstLine="0"/>
      <w:rPr>
        <w:color w:val="000000"/>
        <w:sz w:val="13"/>
        <w:szCs w:val="13"/>
      </w:rPr>
    </w:pPr>
    <w:r w:rsidDel="00000000" w:rsidR="00000000" w:rsidRPr="00000000">
      <w:rPr>
        <w:color w:val="000000"/>
        <w:sz w:val="13"/>
        <w:szCs w:val="13"/>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leader="none" w:pos="4252"/>
        <w:tab w:val="right" w:leader="none" w:pos="8504"/>
        <w:tab w:val="left" w:leader="none" w:pos="1103"/>
        <w:tab w:val="left" w:leader="none" w:pos="1802"/>
      </w:tabs>
      <w:rPr>
        <w:color w:val="000000"/>
      </w:rPr>
    </w:pPr>
    <w:r w:rsidDel="00000000" w:rsidR="00000000" w:rsidRPr="00000000">
      <w:rPr>
        <w:color w:val="000000"/>
        <w:rtl w:val="0"/>
      </w:rPr>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color w:val="000000"/>
      </w:rPr>
      <mc:AlternateContent>
        <mc:Choice Requires="wpg">
          <w:drawing>
            <wp:anchor allowOverlap="1" behindDoc="1" distB="0" distT="0" distL="0" distR="0" hidden="0" layoutInCell="1" locked="0" relativeHeight="0" simplePos="0">
              <wp:simplePos x="0" y="0"/>
              <wp:positionH relativeFrom="page">
                <wp:posOffset>14605</wp:posOffset>
              </wp:positionH>
              <wp:positionV relativeFrom="page">
                <wp:posOffset>-16507</wp:posOffset>
              </wp:positionV>
              <wp:extent cx="7562850" cy="10725665"/>
              <wp:effectExtent b="0" l="0" r="0" t="0"/>
              <wp:wrapNone/>
              <wp:docPr id="236" name=""/>
              <a:graphic>
                <a:graphicData uri="http://schemas.microsoft.com/office/word/2010/wordprocessingGroup">
                  <wpg:wgp>
                    <wpg:cNvGrpSpPr/>
                    <wpg:grpSpPr>
                      <a:xfrm>
                        <a:off x="1564575" y="0"/>
                        <a:ext cx="7562850" cy="10725665"/>
                        <a:chOff x="1564575" y="0"/>
                        <a:chExt cx="7562850" cy="7560000"/>
                      </a:xfrm>
                    </wpg:grpSpPr>
                    <wpg:grpSp>
                      <wpg:cNvGrpSpPr/>
                      <wpg:grpSpPr>
                        <a:xfrm>
                          <a:off x="1564575" y="0"/>
                          <a:ext cx="7562850" cy="7560000"/>
                          <a:chOff x="1564575" y="0"/>
                          <a:chExt cx="7562850" cy="7560000"/>
                        </a:xfrm>
                      </wpg:grpSpPr>
                      <wps:wsp>
                        <wps:cNvSpPr/>
                        <wps:cNvPr id="3" name="Shape 3"/>
                        <wps:spPr>
                          <a:xfrm>
                            <a:off x="1564575" y="0"/>
                            <a:ext cx="756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4575" y="0"/>
                            <a:ext cx="7562850" cy="7560000"/>
                            <a:chOff x="1564575" y="0"/>
                            <a:chExt cx="7562850" cy="7560000"/>
                          </a:xfrm>
                        </wpg:grpSpPr>
                        <wps:wsp>
                          <wps:cNvSpPr/>
                          <wps:cNvPr id="5" name="Shape 5"/>
                          <wps:spPr>
                            <a:xfrm>
                              <a:off x="1564575" y="0"/>
                              <a:ext cx="7562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4575" y="0"/>
                              <a:ext cx="7562850" cy="7560000"/>
                              <a:chOff x="0" y="0"/>
                              <a:chExt cx="11910" cy="16845"/>
                            </a:xfrm>
                          </wpg:grpSpPr>
                          <wps:wsp>
                            <wps:cNvSpPr/>
                            <wps:cNvPr id="7" name="Shape 7"/>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5960" cy="2188"/>
                              </a:xfrm>
                              <a:custGeom>
                                <a:rect b="b" l="l" r="r" t="t"/>
                                <a:pathLst>
                                  <a:path extrusionOk="0" h="2188" w="5960">
                                    <a:moveTo>
                                      <a:pt x="0" y="2188"/>
                                    </a:moveTo>
                                    <a:lnTo>
                                      <a:pt x="0" y="0"/>
                                    </a:lnTo>
                                    <a:lnTo>
                                      <a:pt x="4534" y="0"/>
                                    </a:lnTo>
                                    <a:lnTo>
                                      <a:pt x="5959" y="422"/>
                                    </a:lnTo>
                                    <a:lnTo>
                                      <a:pt x="0" y="2188"/>
                                    </a:lnTo>
                                    <a:close/>
                                  </a:path>
                                </a:pathLst>
                              </a:custGeom>
                              <a:solidFill>
                                <a:srgbClr val="93268F"/>
                              </a:solidFill>
                              <a:ln>
                                <a:noFill/>
                              </a:ln>
                            </wps:spPr>
                            <wps:bodyPr anchorCtr="0" anchor="ctr" bIns="91425" lIns="91425" spcFirstLastPara="1" rIns="91425" wrap="square" tIns="91425">
                              <a:noAutofit/>
                            </wps:bodyPr>
                          </wps:wsp>
                          <wps:wsp>
                            <wps:cNvSpPr/>
                            <wps:cNvPr id="9" name="Shape 9"/>
                            <wps:spPr>
                              <a:xfrm>
                                <a:off x="5959" y="0"/>
                                <a:ext cx="5951" cy="2186"/>
                              </a:xfrm>
                              <a:custGeom>
                                <a:rect b="b" l="l" r="r" t="t"/>
                                <a:pathLst>
                                  <a:path extrusionOk="0" h="2186" w="5951">
                                    <a:moveTo>
                                      <a:pt x="5951" y="2185"/>
                                    </a:moveTo>
                                    <a:lnTo>
                                      <a:pt x="0" y="422"/>
                                    </a:lnTo>
                                    <a:lnTo>
                                      <a:pt x="1426" y="0"/>
                                    </a:lnTo>
                                    <a:lnTo>
                                      <a:pt x="5951" y="0"/>
                                    </a:lnTo>
                                    <a:lnTo>
                                      <a:pt x="5951" y="2185"/>
                                    </a:lnTo>
                                    <a:close/>
                                  </a:path>
                                </a:pathLst>
                              </a:custGeom>
                              <a:solidFill>
                                <a:srgbClr val="CF9ECC"/>
                              </a:solidFill>
                              <a:ln>
                                <a:noFill/>
                              </a:ln>
                            </wps:spPr>
                            <wps:bodyPr anchorCtr="0" anchor="ctr" bIns="91425" lIns="91425" spcFirstLastPara="1" rIns="91425" wrap="square" tIns="91425">
                              <a:noAutofit/>
                            </wps:bodyPr>
                          </wps:wsp>
                          <wps:wsp>
                            <wps:cNvSpPr/>
                            <wps:cNvPr id="10" name="Shape 10"/>
                            <wps:spPr>
                              <a:xfrm>
                                <a:off x="4533" y="0"/>
                                <a:ext cx="2852" cy="423"/>
                              </a:xfrm>
                              <a:custGeom>
                                <a:rect b="b" l="l" r="r" t="t"/>
                                <a:pathLst>
                                  <a:path extrusionOk="0" h="423" w="2852">
                                    <a:moveTo>
                                      <a:pt x="1425" y="422"/>
                                    </a:moveTo>
                                    <a:lnTo>
                                      <a:pt x="0" y="0"/>
                                    </a:lnTo>
                                    <a:lnTo>
                                      <a:pt x="2851" y="0"/>
                                    </a:lnTo>
                                    <a:lnTo>
                                      <a:pt x="1425" y="422"/>
                                    </a:lnTo>
                                    <a:close/>
                                  </a:path>
                                </a:pathLst>
                              </a:custGeom>
                              <a:solidFill>
                                <a:srgbClr val="640D61"/>
                              </a:solidFill>
                              <a:ln>
                                <a:noFill/>
                              </a:ln>
                            </wps:spPr>
                            <wps:bodyPr anchorCtr="0" anchor="ctr" bIns="91425" lIns="91425" spcFirstLastPara="1" rIns="91425" wrap="square" tIns="91425">
                              <a:noAutofit/>
                            </wps:bodyPr>
                          </wps:wsp>
                          <pic:pic>
                            <pic:nvPicPr>
                              <pic:cNvPr id="11" name="Shape 11"/>
                              <pic:cNvPicPr preferRelativeResize="0"/>
                            </pic:nvPicPr>
                            <pic:blipFill rotWithShape="1">
                              <a:blip r:embed="rId1">
                                <a:alphaModFix/>
                              </a:blip>
                              <a:srcRect b="0" l="0" r="0" t="0"/>
                              <a:stretch/>
                            </pic:blipFill>
                            <pic:spPr>
                              <a:xfrm>
                                <a:off x="4442" y="1191"/>
                                <a:ext cx="3033" cy="766"/>
                              </a:xfrm>
                              <a:prstGeom prst="rect">
                                <a:avLst/>
                              </a:prstGeom>
                              <a:noFill/>
                              <a:ln>
                                <a:noFill/>
                              </a:ln>
                            </pic:spPr>
                          </pic:pic>
                          <wps:wsp>
                            <wps:cNvSpPr/>
                            <wps:cNvPr id="12" name="Shape 12"/>
                            <wps:spPr>
                              <a:xfrm>
                                <a:off x="1200" y="612"/>
                                <a:ext cx="9533" cy="282"/>
                              </a:xfrm>
                              <a:custGeom>
                                <a:rect b="b" l="l" r="r" t="t"/>
                                <a:pathLst>
                                  <a:path extrusionOk="0" h="282" w="9533">
                                    <a:moveTo>
                                      <a:pt x="9533" y="254"/>
                                    </a:moveTo>
                                    <a:lnTo>
                                      <a:pt x="9281" y="254"/>
                                    </a:lnTo>
                                    <a:lnTo>
                                      <a:pt x="9281" y="0"/>
                                    </a:lnTo>
                                    <a:lnTo>
                                      <a:pt x="9253" y="0"/>
                                    </a:lnTo>
                                    <a:lnTo>
                                      <a:pt x="9253" y="254"/>
                                    </a:lnTo>
                                    <a:lnTo>
                                      <a:pt x="282" y="254"/>
                                    </a:lnTo>
                                    <a:lnTo>
                                      <a:pt x="282" y="0"/>
                                    </a:lnTo>
                                    <a:lnTo>
                                      <a:pt x="254" y="0"/>
                                    </a:lnTo>
                                    <a:lnTo>
                                      <a:pt x="254" y="254"/>
                                    </a:lnTo>
                                    <a:lnTo>
                                      <a:pt x="0" y="254"/>
                                    </a:lnTo>
                                    <a:lnTo>
                                      <a:pt x="0" y="282"/>
                                    </a:lnTo>
                                    <a:lnTo>
                                      <a:pt x="9533" y="282"/>
                                    </a:lnTo>
                                    <a:lnTo>
                                      <a:pt x="9533" y="254"/>
                                    </a:lnTo>
                                    <a:close/>
                                  </a:path>
                                </a:pathLst>
                              </a:custGeom>
                              <a:solidFill>
                                <a:srgbClr val="CF9ECC"/>
                              </a:solidFill>
                              <a:ln>
                                <a:noFill/>
                              </a:ln>
                            </wps:spPr>
                            <wps:bodyPr anchorCtr="0" anchor="ctr" bIns="91425" lIns="91425" spcFirstLastPara="1" rIns="91425" wrap="square" tIns="91425">
                              <a:noAutofit/>
                            </wps:bodyPr>
                          </wps:wsp>
                          <wps:wsp>
                            <wps:cNvSpPr/>
                            <wps:cNvPr id="13" name="Shape 13"/>
                            <wps:spPr>
                              <a:xfrm>
                                <a:off x="5963" y="14728"/>
                                <a:ext cx="5947" cy="2117"/>
                              </a:xfrm>
                              <a:custGeom>
                                <a:rect b="b" l="l" r="r" t="t"/>
                                <a:pathLst>
                                  <a:path extrusionOk="0" h="2117" w="5947">
                                    <a:moveTo>
                                      <a:pt x="5947" y="0"/>
                                    </a:moveTo>
                                    <a:lnTo>
                                      <a:pt x="5947" y="2116"/>
                                    </a:lnTo>
                                    <a:lnTo>
                                      <a:pt x="1198" y="2116"/>
                                    </a:lnTo>
                                    <a:lnTo>
                                      <a:pt x="0" y="1761"/>
                                    </a:lnTo>
                                    <a:lnTo>
                                      <a:pt x="5947" y="0"/>
                                    </a:lnTo>
                                    <a:close/>
                                  </a:path>
                                </a:pathLst>
                              </a:custGeom>
                              <a:solidFill>
                                <a:srgbClr val="93268F"/>
                              </a:solidFill>
                              <a:ln>
                                <a:noFill/>
                              </a:ln>
                            </wps:spPr>
                            <wps:bodyPr anchorCtr="0" anchor="ctr" bIns="91425" lIns="91425" spcFirstLastPara="1" rIns="91425" wrap="square" tIns="91425">
                              <a:noAutofit/>
                            </wps:bodyPr>
                          </wps:wsp>
                          <wps:wsp>
                            <wps:cNvSpPr/>
                            <wps:cNvPr id="14" name="Shape 14"/>
                            <wps:spPr>
                              <a:xfrm>
                                <a:off x="0" y="14723"/>
                                <a:ext cx="5964" cy="2122"/>
                              </a:xfrm>
                              <a:custGeom>
                                <a:rect b="b" l="l" r="r" t="t"/>
                                <a:pathLst>
                                  <a:path extrusionOk="0" h="2122" w="5964">
                                    <a:moveTo>
                                      <a:pt x="0" y="0"/>
                                    </a:moveTo>
                                    <a:lnTo>
                                      <a:pt x="5963" y="1766"/>
                                    </a:lnTo>
                                    <a:lnTo>
                                      <a:pt x="4766" y="2121"/>
                                    </a:lnTo>
                                    <a:lnTo>
                                      <a:pt x="0" y="2121"/>
                                    </a:lnTo>
                                    <a:lnTo>
                                      <a:pt x="0" y="0"/>
                                    </a:lnTo>
                                    <a:close/>
                                  </a:path>
                                </a:pathLst>
                              </a:custGeom>
                              <a:solidFill>
                                <a:srgbClr val="CF9ECC"/>
                              </a:solidFill>
                              <a:ln>
                                <a:noFill/>
                              </a:ln>
                            </wps:spPr>
                            <wps:bodyPr anchorCtr="0" anchor="ctr" bIns="91425" lIns="91425" spcFirstLastPara="1" rIns="91425" wrap="square" tIns="91425">
                              <a:noAutofit/>
                            </wps:bodyPr>
                          </wps:wsp>
                          <wps:wsp>
                            <wps:cNvSpPr/>
                            <wps:cNvPr id="15" name="Shape 15"/>
                            <wps:spPr>
                              <a:xfrm>
                                <a:off x="4765" y="16490"/>
                                <a:ext cx="2396" cy="355"/>
                              </a:xfrm>
                              <a:custGeom>
                                <a:rect b="b" l="l" r="r" t="t"/>
                                <a:pathLst>
                                  <a:path extrusionOk="0" h="355" w="2396">
                                    <a:moveTo>
                                      <a:pt x="1197" y="0"/>
                                    </a:moveTo>
                                    <a:lnTo>
                                      <a:pt x="2395" y="355"/>
                                    </a:lnTo>
                                    <a:lnTo>
                                      <a:pt x="0" y="355"/>
                                    </a:lnTo>
                                    <a:lnTo>
                                      <a:pt x="1197" y="0"/>
                                    </a:lnTo>
                                    <a:close/>
                                  </a:path>
                                </a:pathLst>
                              </a:custGeom>
                              <a:solidFill>
                                <a:srgbClr val="3B0338"/>
                              </a:solidFill>
                              <a:ln>
                                <a:noFill/>
                              </a:ln>
                            </wps:spPr>
                            <wps:bodyPr anchorCtr="0" anchor="ctr" bIns="91425" lIns="91425" spcFirstLastPara="1" rIns="91425" wrap="square" tIns="91425">
                              <a:noAutofit/>
                            </wps:bodyPr>
                          </wps:wsp>
                          <wps:wsp>
                            <wps:cNvSpPr/>
                            <wps:cNvPr id="16" name="Shape 16"/>
                            <wps:spPr>
                              <a:xfrm>
                                <a:off x="1200" y="894"/>
                                <a:ext cx="9533" cy="14911"/>
                              </a:xfrm>
                              <a:custGeom>
                                <a:rect b="b" l="l" r="r" t="t"/>
                                <a:pathLst>
                                  <a:path extrusionOk="0" h="14911" w="9533">
                                    <a:moveTo>
                                      <a:pt x="9533" y="14629"/>
                                    </a:moveTo>
                                    <a:lnTo>
                                      <a:pt x="9281" y="14629"/>
                                    </a:lnTo>
                                    <a:lnTo>
                                      <a:pt x="9281" y="0"/>
                                    </a:lnTo>
                                    <a:lnTo>
                                      <a:pt x="9253" y="0"/>
                                    </a:lnTo>
                                    <a:lnTo>
                                      <a:pt x="9253" y="14629"/>
                                    </a:lnTo>
                                    <a:lnTo>
                                      <a:pt x="282" y="14629"/>
                                    </a:lnTo>
                                    <a:lnTo>
                                      <a:pt x="282" y="0"/>
                                    </a:lnTo>
                                    <a:lnTo>
                                      <a:pt x="254" y="0"/>
                                    </a:lnTo>
                                    <a:lnTo>
                                      <a:pt x="254" y="14629"/>
                                    </a:lnTo>
                                    <a:lnTo>
                                      <a:pt x="0" y="14629"/>
                                    </a:lnTo>
                                    <a:lnTo>
                                      <a:pt x="0" y="14657"/>
                                    </a:lnTo>
                                    <a:lnTo>
                                      <a:pt x="254" y="14657"/>
                                    </a:lnTo>
                                    <a:lnTo>
                                      <a:pt x="254" y="14911"/>
                                    </a:lnTo>
                                    <a:lnTo>
                                      <a:pt x="282" y="14911"/>
                                    </a:lnTo>
                                    <a:lnTo>
                                      <a:pt x="282" y="14657"/>
                                    </a:lnTo>
                                    <a:lnTo>
                                      <a:pt x="9253" y="14657"/>
                                    </a:lnTo>
                                    <a:lnTo>
                                      <a:pt x="9253" y="14911"/>
                                    </a:lnTo>
                                    <a:lnTo>
                                      <a:pt x="9281" y="14911"/>
                                    </a:lnTo>
                                    <a:lnTo>
                                      <a:pt x="9281" y="14657"/>
                                    </a:lnTo>
                                    <a:lnTo>
                                      <a:pt x="9533" y="14657"/>
                                    </a:lnTo>
                                    <a:lnTo>
                                      <a:pt x="9533" y="14629"/>
                                    </a:lnTo>
                                    <a:close/>
                                  </a:path>
                                </a:pathLst>
                              </a:custGeom>
                              <a:solidFill>
                                <a:srgbClr val="CF9ECC"/>
                              </a:solidFill>
                              <a:ln>
                                <a:noFill/>
                              </a:ln>
                            </wps:spPr>
                            <wps:bodyPr anchorCtr="0" anchor="ctr" bIns="91425" lIns="91425" spcFirstLastPara="1" rIns="91425" wrap="square" tIns="91425">
                              <a:noAutofit/>
                            </wps:bodyPr>
                          </wps:wsp>
                          <pic:pic>
                            <pic:nvPicPr>
                              <pic:cNvPr id="17" name="Shape 17"/>
                              <pic:cNvPicPr preferRelativeResize="0"/>
                            </pic:nvPicPr>
                            <pic:blipFill rotWithShape="1">
                              <a:blip r:embed="rId2">
                                <a:alphaModFix/>
                              </a:blip>
                              <a:srcRect b="0" l="0" r="0" t="0"/>
                              <a:stretch/>
                            </pic:blipFill>
                            <pic:spPr>
                              <a:xfrm>
                                <a:off x="1569" y="15701"/>
                                <a:ext cx="2072" cy="436"/>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14605</wp:posOffset>
              </wp:positionH>
              <wp:positionV relativeFrom="page">
                <wp:posOffset>-16507</wp:posOffset>
              </wp:positionV>
              <wp:extent cx="7562850" cy="10725665"/>
              <wp:effectExtent b="0" l="0" r="0" t="0"/>
              <wp:wrapNone/>
              <wp:docPr id="236"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7562850" cy="1072566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880" w:right="3778" w:firstLine="0"/>
      <w:jc w:val="center"/>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Fonts w:ascii="Tahoma" w:cs="Tahoma" w:eastAsia="Tahoma" w:hAnsi="Tahoma"/>
        <w:b w:val="1"/>
        <w:i w:val="0"/>
        <w:smallCaps w:val="0"/>
        <w:strike w:val="0"/>
        <w:color w:val="93268f"/>
        <w:sz w:val="23"/>
        <w:szCs w:val="23"/>
        <w:u w:val="none"/>
        <w:shd w:fill="auto" w:val="clear"/>
        <w:vertAlign w:val="baseline"/>
        <w:rtl w:val="0"/>
      </w:rPr>
      <w:t xml:space="preserve">dewproject.eu</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Calibri" w:cs="Calibri" w:eastAsia="Calibri" w:hAnsi="Calibri"/>
      </w:rPr>
    </w:lvl>
    <w:lvl w:ilvl="3">
      <w:start w:val="1"/>
      <w:numFmt w:val="bullet"/>
      <w:lvlText w:val="-"/>
      <w:lvlJc w:val="left"/>
      <w:pPr>
        <w:ind w:left="2880" w:hanging="360"/>
      </w:pPr>
      <w:rPr>
        <w:rFonts w:ascii="Calibri" w:cs="Calibri" w:eastAsia="Calibri" w:hAnsi="Calibri"/>
      </w:rPr>
    </w:lvl>
    <w:lvl w:ilvl="4">
      <w:start w:val="1"/>
      <w:numFmt w:val="bullet"/>
      <w:lvlText w:val="-"/>
      <w:lvlJc w:val="left"/>
      <w:pPr>
        <w:ind w:left="3600" w:hanging="360"/>
      </w:pPr>
      <w:rPr>
        <w:rFonts w:ascii="Calibri" w:cs="Calibri" w:eastAsia="Calibri" w:hAnsi="Calibri"/>
      </w:rPr>
    </w:lvl>
    <w:lvl w:ilvl="5">
      <w:start w:val="1"/>
      <w:numFmt w:val="bullet"/>
      <w:lvlText w:val="-"/>
      <w:lvlJc w:val="left"/>
      <w:pPr>
        <w:ind w:left="4320" w:hanging="360"/>
      </w:pPr>
      <w:rPr>
        <w:rFonts w:ascii="Calibri" w:cs="Calibri" w:eastAsia="Calibri" w:hAnsi="Calibri"/>
      </w:rPr>
    </w:lvl>
    <w:lvl w:ilvl="6">
      <w:start w:val="1"/>
      <w:numFmt w:val="bullet"/>
      <w:lvlText w:val="-"/>
      <w:lvlJc w:val="left"/>
      <w:pPr>
        <w:ind w:left="5040" w:hanging="360"/>
      </w:pPr>
      <w:rPr>
        <w:rFonts w:ascii="Calibri" w:cs="Calibri" w:eastAsia="Calibri" w:hAnsi="Calibri"/>
      </w:rPr>
    </w:lvl>
    <w:lvl w:ilvl="7">
      <w:start w:val="1"/>
      <w:numFmt w:val="bullet"/>
      <w:lvlText w:val="-"/>
      <w:lvlJc w:val="left"/>
      <w:pPr>
        <w:ind w:left="5760" w:hanging="360"/>
      </w:pPr>
      <w:rPr>
        <w:rFonts w:ascii="Calibri" w:cs="Calibri" w:eastAsia="Calibri" w:hAnsi="Calibri"/>
      </w:rPr>
    </w:lvl>
    <w:lvl w:ilvl="8">
      <w:start w:val="1"/>
      <w:numFmt w:val="bullet"/>
      <w:lvlText w:val="-"/>
      <w:lvlJc w:val="left"/>
      <w:pPr>
        <w:ind w:left="6480" w:hanging="360"/>
      </w:pPr>
      <w:rPr>
        <w:rFonts w:ascii="Calibri" w:cs="Calibri" w:eastAsia="Calibri" w:hAnsi="Calibri"/>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e" w:default="1">
    <w:name w:val="Normal"/>
    <w:qFormat w:val="1"/>
    <w:rsid w:val="00C2407C"/>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sz w:val="24"/>
      <w:szCs w:val="24"/>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uiPriority w:val="10"/>
    <w:qFormat w:val="1"/>
    <w:pPr>
      <w:spacing w:before="122"/>
      <w:ind w:left="3426" w:right="3778"/>
      <w:jc w:val="center"/>
    </w:pPr>
    <w:rPr>
      <w:rFonts w:ascii="Tahoma" w:cs="Tahoma" w:eastAsia="Tahoma" w:hAnsi="Tahoma"/>
      <w:b w:val="1"/>
      <w:bCs w:val="1"/>
      <w:sz w:val="23"/>
      <w:szCs w:val="23"/>
    </w:rPr>
  </w:style>
  <w:style w:type="table" w:styleId="TableNormal0"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13"/>
      <w:szCs w:val="13"/>
    </w:rPr>
  </w:style>
  <w:style w:type="paragraph" w:styleId="Paragrafoelenco">
    <w:name w:val="List Paragraph"/>
    <w:basedOn w:val="Normale"/>
    <w:uiPriority w:val="99"/>
    <w:qFormat w:val="1"/>
  </w:style>
  <w:style w:type="paragraph" w:styleId="TableParagraph" w:customStyle="1">
    <w:name w:val="Table Paragraph"/>
    <w:basedOn w:val="Normale"/>
    <w:uiPriority w:val="1"/>
    <w:qFormat w:val="1"/>
  </w:style>
  <w:style w:type="paragraph" w:styleId="Intestazione">
    <w:name w:val="header"/>
    <w:basedOn w:val="Normale"/>
    <w:link w:val="IntestazioneCarattere"/>
    <w:uiPriority w:val="99"/>
    <w:unhideWhenUsed w:val="1"/>
    <w:rsid w:val="00FA44BE"/>
    <w:pPr>
      <w:tabs>
        <w:tab w:val="center" w:pos="4252"/>
        <w:tab w:val="right" w:pos="8504"/>
      </w:tabs>
    </w:pPr>
  </w:style>
  <w:style w:type="character" w:styleId="IntestazioneCarattere" w:customStyle="1">
    <w:name w:val="Intestazione Carattere"/>
    <w:basedOn w:val="Carpredefinitoparagrafo"/>
    <w:link w:val="Intestazione"/>
    <w:uiPriority w:val="99"/>
    <w:rsid w:val="00FA44BE"/>
    <w:rPr>
      <w:rFonts w:ascii="Arial MT" w:cs="Arial MT" w:eastAsia="Arial MT" w:hAnsi="Arial MT"/>
    </w:rPr>
  </w:style>
  <w:style w:type="paragraph" w:styleId="Pidipagina">
    <w:name w:val="footer"/>
    <w:basedOn w:val="Normale"/>
    <w:link w:val="PidipaginaCarattere"/>
    <w:uiPriority w:val="99"/>
    <w:unhideWhenUsed w:val="1"/>
    <w:rsid w:val="00FA44BE"/>
    <w:pPr>
      <w:tabs>
        <w:tab w:val="center" w:pos="4252"/>
        <w:tab w:val="right" w:pos="8504"/>
      </w:tabs>
    </w:pPr>
  </w:style>
  <w:style w:type="character" w:styleId="PidipaginaCarattere" w:customStyle="1">
    <w:name w:val="Piè di pagina Carattere"/>
    <w:basedOn w:val="Carpredefinitoparagrafo"/>
    <w:link w:val="Pidipagina"/>
    <w:uiPriority w:val="99"/>
    <w:rsid w:val="00FA44BE"/>
    <w:rPr>
      <w:rFonts w:ascii="Arial MT" w:cs="Arial MT" w:eastAsia="Arial MT" w:hAnsi="Arial MT"/>
    </w:rPr>
  </w:style>
  <w:style w:type="table" w:styleId="Grigliatabella">
    <w:name w:val="Table Grid"/>
    <w:basedOn w:val="Tabellanormale"/>
    <w:uiPriority w:val="39"/>
    <w:rsid w:val="00AB39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 (Web)"/>
    <w:basedOn w:val="Normale"/>
    <w:uiPriority w:val="99"/>
    <w:semiHidden w:val="1"/>
    <w:unhideWhenUsed w:val="1"/>
    <w:rsid w:val="00B7736C"/>
    <w:pPr>
      <w:widowControl w:val="1"/>
      <w:spacing w:after="100" w:afterAutospacing="1" w:before="100" w:beforeAutospacing="1"/>
    </w:pPr>
    <w:rPr>
      <w:rFonts w:ascii="Times New Roman" w:cs="Times New Roman" w:eastAsia="Times New Roman" w:hAnsi="Times New Roman"/>
      <w:sz w:val="24"/>
      <w:szCs w:val="24"/>
      <w:lang w:val="it-IT"/>
    </w:rPr>
  </w:style>
  <w:style w:type="character" w:styleId="Collegamentoipertestuale">
    <w:name w:val="Hyperlink"/>
    <w:basedOn w:val="Carpredefinitoparagrafo"/>
    <w:uiPriority w:val="99"/>
    <w:unhideWhenUsed w:val="1"/>
    <w:rsid w:val="00B7736C"/>
    <w:rPr>
      <w:color w:val="0000ff" w:themeColor="hyperlink"/>
      <w:u w:val="single"/>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08.0" w:type="dxa"/>
        <w:right w:w="108.0" w:type="dxa"/>
      </w:tblCellMar>
    </w:tblPr>
  </w:style>
  <w:style w:type="character" w:styleId="Menzionenonrisolta">
    <w:name w:val="Unresolved Mention"/>
    <w:basedOn w:val="Carpredefinitoparagrafo"/>
    <w:uiPriority w:val="99"/>
    <w:semiHidden w:val="1"/>
    <w:unhideWhenUsed w:val="1"/>
    <w:rsid w:val="00942AD6"/>
    <w:rPr>
      <w:color w:val="605e5c"/>
      <w:shd w:color="auto" w:fill="e1dfdd" w:val="clear"/>
    </w:rPr>
  </w:style>
  <w:style w:type="character" w:styleId="Collegamentovisitato">
    <w:name w:val="FollowedHyperlink"/>
    <w:basedOn w:val="Carpredefinitoparagrafo"/>
    <w:uiPriority w:val="99"/>
    <w:semiHidden w:val="1"/>
    <w:unhideWhenUsed w:val="1"/>
    <w:rsid w:val="00B0439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hyperlink" Target="https://www.investopedia.com/ask/answers/042215/what-are-benefits-company-using-equity-financing-vs-debt-financing.asp" TargetMode="External"/><Relationship Id="rId21" Type="http://schemas.openxmlformats.org/officeDocument/2006/relationships/hyperlink" Target="https://www.investopedia.com/terms/c/costofcapital.asp" TargetMode="External"/><Relationship Id="rId24" Type="http://schemas.openxmlformats.org/officeDocument/2006/relationships/hyperlink" Target="https://www.wallstreetmojo.com/apr-vs-apy/" TargetMode="External"/><Relationship Id="rId23" Type="http://schemas.openxmlformats.org/officeDocument/2006/relationships/hyperlink" Target="https://www.rocketlawyer.com/business-and-contracts/business-operations/corporate-finance/legal-guide/grants-vs-loans-whats-the-differe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s://www.pgpf.org/budget-basics/what-is-inflation-and-why-does-it-matter" TargetMode="External"/><Relationship Id="rId25" Type="http://schemas.openxmlformats.org/officeDocument/2006/relationships/hyperlink" Target="https://www.ecb.europa.eu/stats/macroeconomic_and_sectoral/hicp/html/index.en.html" TargetMode="External"/><Relationship Id="rId28" Type="http://schemas.openxmlformats.org/officeDocument/2006/relationships/header" Target="head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3.xml"/><Relationship Id="rId7" Type="http://schemas.openxmlformats.org/officeDocument/2006/relationships/image" Target="media/image6.png"/><Relationship Id="rId8" Type="http://schemas.openxmlformats.org/officeDocument/2006/relationships/image" Target="media/image5.png"/><Relationship Id="rId31" Type="http://schemas.openxmlformats.org/officeDocument/2006/relationships/footer" Target="footer3.xml"/><Relationship Id="rId30" Type="http://schemas.openxmlformats.org/officeDocument/2006/relationships/footer" Target="footer1.xml"/><Relationship Id="rId11" Type="http://schemas.openxmlformats.org/officeDocument/2006/relationships/image" Target="media/image8.png"/><Relationship Id="rId10" Type="http://schemas.openxmlformats.org/officeDocument/2006/relationships/image" Target="media/image10.png"/><Relationship Id="rId32" Type="http://schemas.openxmlformats.org/officeDocument/2006/relationships/footer" Target="footer2.xml"/><Relationship Id="rId13" Type="http://schemas.openxmlformats.org/officeDocument/2006/relationships/image" Target="media/image9.png"/><Relationship Id="rId12" Type="http://schemas.openxmlformats.org/officeDocument/2006/relationships/image" Target="media/image7.png"/><Relationship Id="rId15" Type="http://schemas.openxmlformats.org/officeDocument/2006/relationships/hyperlink" Target="https://eismea.ec.europa.eu/programmes/european-innovation-ecosystems/women-techeu_en" TargetMode="External"/><Relationship Id="rId14" Type="http://schemas.openxmlformats.org/officeDocument/2006/relationships/image" Target="media/image1.png"/><Relationship Id="rId17" Type="http://schemas.openxmlformats.org/officeDocument/2006/relationships/hyperlink" Target="https://eismea.ec.europa.eu/programmes/european-innovation-ecosystems/women-techeu_en" TargetMode="External"/><Relationship Id="rId16" Type="http://schemas.openxmlformats.org/officeDocument/2006/relationships/image" Target="media/image3.png"/><Relationship Id="rId19" Type="http://schemas.openxmlformats.org/officeDocument/2006/relationships/hyperlink" Target="https://www.ecb.europa.eu/stats/macroeconomic_and_sectoral/hicp/html/index.en.html" TargetMode="External"/><Relationship Id="rId18" Type="http://schemas.openxmlformats.org/officeDocument/2006/relationships/hyperlink" Target="https://www.ecb.europa.eu/ecb/educational/explainers/tell-me-more/html/what_is_inflation.en.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2.jp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3NFpBq+9T7DU6tIZz6NMmUd7WQ==">AMUW2mWEgzkUICFkWZ4cqzJLAjB5as5vLf95p51CDilzxcJM5Xbf6TXcdTmde87W1rJXhDNmp4POJXvfyqkAK+aJbrC123FcsStfPejJOAE+xCP2OPXCj5ht5Bot/+/XxpOWrzVrzAjN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2022-12-12T12:55:00Z</dcterms:created>
  <dc:creator>Monia Coppola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Canva</vt:lpwstr>
  </property>
  <property fmtid="{D5CDD505-2E9C-101B-9397-08002B2CF9AE}" pid="4" name="LastSaved">
    <vt:filetime>2022-01-04T00:00:00Z</vt:filetime>
  </property>
</Properties>
</file>