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402"/>
        </w:tabs>
        <w:spacing w:after="0" w:before="0" w:line="278.00000000000006" w:lineRule="auto"/>
        <w:ind w:left="0" w:right="106"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2">
      <w:pPr>
        <w:ind w:left="2880" w:firstLine="0"/>
        <w:rPr>
          <w:rFonts w:ascii="Calibri" w:cs="Calibri" w:eastAsia="Calibri" w:hAnsi="Calibri"/>
          <w:b w:val="1"/>
          <w:color w:val="93268f"/>
          <w:sz w:val="36"/>
          <w:szCs w:val="36"/>
        </w:rPr>
      </w:pPr>
      <w:r w:rsidDel="00000000" w:rsidR="00000000" w:rsidRPr="00000000">
        <w:rPr>
          <w:rFonts w:ascii="Calibri" w:cs="Calibri" w:eastAsia="Calibri" w:hAnsi="Calibri"/>
          <w:b w:val="1"/>
          <w:color w:val="93268f"/>
          <w:sz w:val="36"/>
          <w:szCs w:val="36"/>
          <w:rtl w:val="0"/>
        </w:rPr>
        <w:t xml:space="preserve">       Case study</w:t>
      </w:r>
    </w:p>
    <w:p w:rsidR="00000000" w:rsidDel="00000000" w:rsidP="00000000" w:rsidRDefault="00000000" w:rsidRPr="00000000" w14:paraId="00000003">
      <w:pPr>
        <w:rPr>
          <w:rFonts w:ascii="Calibri" w:cs="Calibri" w:eastAsia="Calibri" w:hAnsi="Calibri"/>
          <w:b w:val="1"/>
          <w:color w:val="266c9f"/>
        </w:rPr>
      </w:pPr>
      <w:r w:rsidDel="00000000" w:rsidR="00000000" w:rsidRPr="00000000">
        <w:rPr>
          <w:rtl w:val="0"/>
        </w:rPr>
      </w:r>
    </w:p>
    <w:p w:rsidR="00000000" w:rsidDel="00000000" w:rsidP="00000000" w:rsidRDefault="00000000" w:rsidRPr="00000000" w14:paraId="00000004">
      <w:pPr>
        <w:rPr>
          <w:rFonts w:ascii="Calibri" w:cs="Calibri" w:eastAsia="Calibri" w:hAnsi="Calibri"/>
        </w:rPr>
      </w:pPr>
      <w:r w:rsidDel="00000000" w:rsidR="00000000" w:rsidRPr="00000000">
        <w:rPr>
          <w:rtl w:val="0"/>
        </w:rPr>
      </w:r>
    </w:p>
    <w:tbl>
      <w:tblPr>
        <w:tblStyle w:val="Table1"/>
        <w:tblW w:w="8931.0" w:type="dxa"/>
        <w:jc w:val="left"/>
        <w:tblInd w:w="-3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721"/>
        <w:gridCol w:w="6210"/>
        <w:tblGridChange w:id="0">
          <w:tblGrid>
            <w:gridCol w:w="2721"/>
            <w:gridCol w:w="6210"/>
          </w:tblGrid>
        </w:tblGridChange>
      </w:tblGrid>
      <w:tr>
        <w:trPr>
          <w:cantSplit w:val="0"/>
          <w:trHeight w:val="971" w:hRule="atLeast"/>
          <w:tblHeader w:val="0"/>
        </w:trPr>
        <w:tc>
          <w:tcPr>
            <w:shd w:fill="93268f" w:val="clear"/>
          </w:tcPr>
          <w:p w:rsidR="00000000" w:rsidDel="00000000" w:rsidP="00000000" w:rsidRDefault="00000000" w:rsidRPr="00000000" w14:paraId="00000005">
            <w:pP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Titre de l'étude de cas / bonne pratique</w:t>
            </w:r>
          </w:p>
        </w:tc>
        <w:tc>
          <w:tcPr>
            <w:shd w:fill="ffffff" w:val="clear"/>
          </w:tcPr>
          <w:p w:rsidR="00000000" w:rsidDel="00000000" w:rsidP="00000000" w:rsidRDefault="00000000" w:rsidRPr="00000000" w14:paraId="00000006">
            <w:pPr>
              <w:rPr>
                <w:rFonts w:ascii="Calibri" w:cs="Calibri" w:eastAsia="Calibri" w:hAnsi="Calibri"/>
                <w:color w:val="244061"/>
              </w:rPr>
            </w:pPr>
            <w:r w:rsidDel="00000000" w:rsidR="00000000" w:rsidRPr="00000000">
              <w:rPr>
                <w:rtl w:val="0"/>
              </w:rPr>
            </w:r>
          </w:p>
          <w:p w:rsidR="00000000" w:rsidDel="00000000" w:rsidP="00000000" w:rsidRDefault="00000000" w:rsidRPr="00000000" w14:paraId="00000007">
            <w:pPr>
              <w:rPr>
                <w:rFonts w:ascii="Calibri" w:cs="Calibri" w:eastAsia="Calibri" w:hAnsi="Calibri"/>
                <w:color w:val="244061"/>
              </w:rPr>
            </w:pPr>
            <w:r w:rsidDel="00000000" w:rsidR="00000000" w:rsidRPr="00000000">
              <w:rPr>
                <w:rFonts w:ascii="Calibri" w:cs="Calibri" w:eastAsia="Calibri" w:hAnsi="Calibri"/>
                <w:color w:val="244061"/>
                <w:rtl w:val="0"/>
              </w:rPr>
              <w:t xml:space="preserve">Smartheat - entrepreneuriat numérique (médias sociaux)</w:t>
            </w:r>
          </w:p>
          <w:p w:rsidR="00000000" w:rsidDel="00000000" w:rsidP="00000000" w:rsidRDefault="00000000" w:rsidRPr="00000000" w14:paraId="00000008">
            <w:pPr>
              <w:rPr>
                <w:rFonts w:ascii="Calibri" w:cs="Calibri" w:eastAsia="Calibri" w:hAnsi="Calibri"/>
                <w:color w:val="244061"/>
              </w:rPr>
            </w:pPr>
            <w:r w:rsidDel="00000000" w:rsidR="00000000" w:rsidRPr="00000000">
              <w:rPr>
                <w:rtl w:val="0"/>
              </w:rPr>
            </w:r>
          </w:p>
        </w:tc>
      </w:tr>
      <w:tr>
        <w:trPr>
          <w:cantSplit w:val="0"/>
          <w:trHeight w:val="636" w:hRule="atLeast"/>
          <w:tblHeader w:val="0"/>
        </w:trPr>
        <w:tc>
          <w:tcPr>
            <w:shd w:fill="93268f" w:val="clear"/>
          </w:tcPr>
          <w:p w:rsidR="00000000" w:rsidDel="00000000" w:rsidP="00000000" w:rsidRDefault="00000000" w:rsidRPr="00000000" w14:paraId="00000009">
            <w:pP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Mots-clés (balise méta)</w:t>
            </w:r>
          </w:p>
        </w:tc>
        <w:tc>
          <w:tcPr>
            <w:shd w:fill="ffffff" w:val="clear"/>
          </w:tcPr>
          <w:p w:rsidR="00000000" w:rsidDel="00000000" w:rsidP="00000000" w:rsidRDefault="00000000" w:rsidRPr="00000000" w14:paraId="0000000A">
            <w:pPr>
              <w:rPr>
                <w:rFonts w:ascii="Calibri" w:cs="Calibri" w:eastAsia="Calibri" w:hAnsi="Calibri"/>
                <w:color w:val="244061"/>
              </w:rPr>
            </w:pPr>
            <w:r w:rsidDel="00000000" w:rsidR="00000000" w:rsidRPr="00000000">
              <w:rPr>
                <w:rtl w:val="0"/>
              </w:rPr>
            </w:r>
          </w:p>
          <w:p w:rsidR="00000000" w:rsidDel="00000000" w:rsidP="00000000" w:rsidRDefault="00000000" w:rsidRPr="00000000" w14:paraId="0000000B">
            <w:pPr>
              <w:rPr>
                <w:rFonts w:ascii="Calibri" w:cs="Calibri" w:eastAsia="Calibri" w:hAnsi="Calibri"/>
                <w:color w:val="244061"/>
              </w:rPr>
            </w:pPr>
            <w:r w:rsidDel="00000000" w:rsidR="00000000" w:rsidRPr="00000000">
              <w:rPr>
                <w:rFonts w:ascii="Calibri" w:cs="Calibri" w:eastAsia="Calibri" w:hAnsi="Calibri"/>
                <w:color w:val="244061"/>
                <w:rtl w:val="0"/>
              </w:rPr>
              <w:t xml:space="preserve">Femme chef d'entreprise, durable, marketing numérique, rebranding, médias sociaux, e-marketing</w:t>
            </w:r>
          </w:p>
        </w:tc>
      </w:tr>
      <w:tr>
        <w:trPr>
          <w:cantSplit w:val="0"/>
          <w:trHeight w:val="636" w:hRule="atLeast"/>
          <w:tblHeader w:val="0"/>
        </w:trPr>
        <w:tc>
          <w:tcPr>
            <w:shd w:fill="93268f" w:val="clear"/>
          </w:tcPr>
          <w:p w:rsidR="00000000" w:rsidDel="00000000" w:rsidP="00000000" w:rsidRDefault="00000000" w:rsidRPr="00000000" w14:paraId="0000000C">
            <w:pP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Fourni par</w:t>
            </w:r>
          </w:p>
        </w:tc>
        <w:tc>
          <w:tcPr>
            <w:shd w:fill="ffffff" w:val="clear"/>
          </w:tcPr>
          <w:p w:rsidR="00000000" w:rsidDel="00000000" w:rsidP="00000000" w:rsidRDefault="00000000" w:rsidRPr="00000000" w14:paraId="0000000D">
            <w:pPr>
              <w:rPr>
                <w:rFonts w:ascii="Calibri" w:cs="Calibri" w:eastAsia="Calibri" w:hAnsi="Calibri"/>
                <w:color w:val="244061"/>
              </w:rPr>
            </w:pPr>
            <w:r w:rsidDel="00000000" w:rsidR="00000000" w:rsidRPr="00000000">
              <w:rPr>
                <w:rFonts w:ascii="Calibri" w:cs="Calibri" w:eastAsia="Calibri" w:hAnsi="Calibri"/>
                <w:color w:val="244061"/>
                <w:rtl w:val="0"/>
              </w:rPr>
              <w:t xml:space="preserve">Lien des femmes de Longford</w:t>
            </w:r>
          </w:p>
          <w:p w:rsidR="00000000" w:rsidDel="00000000" w:rsidP="00000000" w:rsidRDefault="00000000" w:rsidRPr="00000000" w14:paraId="0000000E">
            <w:pPr>
              <w:rPr>
                <w:rFonts w:ascii="Calibri" w:cs="Calibri" w:eastAsia="Calibri" w:hAnsi="Calibri"/>
                <w:color w:val="244061"/>
              </w:rPr>
            </w:pPr>
            <w:r w:rsidDel="00000000" w:rsidR="00000000" w:rsidRPr="00000000">
              <w:rPr>
                <w:rtl w:val="0"/>
              </w:rPr>
            </w:r>
          </w:p>
        </w:tc>
      </w:tr>
      <w:tr>
        <w:trPr>
          <w:cantSplit w:val="0"/>
          <w:trHeight w:val="600" w:hRule="atLeast"/>
          <w:tblHeader w:val="0"/>
        </w:trPr>
        <w:tc>
          <w:tcPr>
            <w:shd w:fill="93268f" w:val="clear"/>
            <w:vAlign w:val="center"/>
          </w:tcPr>
          <w:p w:rsidR="00000000" w:rsidDel="00000000" w:rsidP="00000000" w:rsidRDefault="00000000" w:rsidRPr="00000000" w14:paraId="0000000F">
            <w:pP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Langue</w:t>
            </w:r>
          </w:p>
        </w:tc>
        <w:tc>
          <w:tcPr>
            <w:shd w:fill="ffffff" w:val="clear"/>
            <w:vAlign w:val="center"/>
          </w:tcPr>
          <w:p w:rsidR="00000000" w:rsidDel="00000000" w:rsidP="00000000" w:rsidRDefault="00000000" w:rsidRPr="00000000" w14:paraId="00000010">
            <w:pPr>
              <w:rPr>
                <w:rFonts w:ascii="Calibri" w:cs="Calibri" w:eastAsia="Calibri" w:hAnsi="Calibri"/>
              </w:rPr>
            </w:pPr>
            <w:r w:rsidDel="00000000" w:rsidR="00000000" w:rsidRPr="00000000">
              <w:rPr>
                <w:rFonts w:ascii="Calibri" w:cs="Calibri" w:eastAsia="Calibri" w:hAnsi="Calibri"/>
                <w:rtl w:val="0"/>
              </w:rPr>
              <w:t xml:space="preserve">FRANCAIS </w:t>
            </w:r>
            <w:r w:rsidDel="00000000" w:rsidR="00000000" w:rsidRPr="00000000">
              <w:rPr>
                <w:rtl w:val="0"/>
              </w:rPr>
            </w:r>
          </w:p>
          <w:p w:rsidR="00000000" w:rsidDel="00000000" w:rsidP="00000000" w:rsidRDefault="00000000" w:rsidRPr="00000000" w14:paraId="00000011">
            <w:pPr>
              <w:rPr>
                <w:rFonts w:ascii="Calibri" w:cs="Calibri" w:eastAsia="Calibri" w:hAnsi="Calibri"/>
                <w:color w:val="244061"/>
              </w:rPr>
            </w:pPr>
            <w:r w:rsidDel="00000000" w:rsidR="00000000" w:rsidRPr="00000000">
              <w:rPr>
                <w:rtl w:val="0"/>
              </w:rPr>
            </w:r>
          </w:p>
        </w:tc>
      </w:tr>
      <w:tr>
        <w:trPr>
          <w:cantSplit w:val="0"/>
          <w:trHeight w:val="264" w:hRule="atLeast"/>
          <w:tblHeader w:val="0"/>
        </w:trPr>
        <w:tc>
          <w:tcPr>
            <w:gridSpan w:val="2"/>
            <w:shd w:fill="93268f" w:val="clear"/>
            <w:vAlign w:val="center"/>
          </w:tcPr>
          <w:p w:rsidR="00000000" w:rsidDel="00000000" w:rsidP="00000000" w:rsidRDefault="00000000" w:rsidRPr="00000000" w14:paraId="00000012">
            <w:pP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Étude de cas</w:t>
            </w:r>
          </w:p>
          <w:p w:rsidR="00000000" w:rsidDel="00000000" w:rsidP="00000000" w:rsidRDefault="00000000" w:rsidRPr="00000000" w14:paraId="00000013">
            <w:pPr>
              <w:rPr>
                <w:rFonts w:ascii="Calibri" w:cs="Calibri" w:eastAsia="Calibri" w:hAnsi="Calibri"/>
              </w:rPr>
            </w:pPr>
            <w:r w:rsidDel="00000000" w:rsidR="00000000" w:rsidRPr="00000000">
              <w:rPr>
                <w:rtl w:val="0"/>
              </w:rPr>
            </w:r>
          </w:p>
        </w:tc>
      </w:tr>
      <w:tr>
        <w:trPr>
          <w:cantSplit w:val="0"/>
          <w:trHeight w:val="6345" w:hRule="atLeast"/>
          <w:tblHeader w:val="0"/>
        </w:trPr>
        <w:tc>
          <w:tcPr>
            <w:gridSpan w:val="2"/>
            <w:shd w:fill="auto" w:val="clear"/>
          </w:tcPr>
          <w:p w:rsidR="00000000" w:rsidDel="00000000" w:rsidP="00000000" w:rsidRDefault="00000000" w:rsidRPr="00000000" w14:paraId="00000015">
            <w:pPr>
              <w:jc w:val="both"/>
              <w:rPr>
                <w:rFonts w:ascii="Calibri" w:cs="Calibri" w:eastAsia="Calibri" w:hAnsi="Calibri"/>
              </w:rPr>
            </w:pPr>
            <w:r w:rsidDel="00000000" w:rsidR="00000000" w:rsidRPr="00000000">
              <w:rPr>
                <w:rtl w:val="0"/>
              </w:rPr>
              <w:t xml:space="preserve">Smartheat est le partenaire irlandais de Ravelli, fabricant de poêles à granulés de bois de haute technologie. Smartheat approvisionne le marché irlandais depuis 2005. Ils approvisionnent directement le public et passent également par d'autres distributeurs sur la base d'un contrat de vente en gros.</w:t>
            </w:r>
            <w:r w:rsidDel="00000000" w:rsidR="00000000" w:rsidRPr="00000000">
              <w:rPr>
                <w:rtl w:val="0"/>
              </w:rPr>
            </w:r>
          </w:p>
          <w:p w:rsidR="00000000" w:rsidDel="00000000" w:rsidP="00000000" w:rsidRDefault="00000000" w:rsidRPr="00000000" w14:paraId="00000016">
            <w:pPr>
              <w:jc w:val="both"/>
              <w:rPr/>
            </w:pPr>
            <w:r w:rsidDel="00000000" w:rsidR="00000000" w:rsidRPr="00000000">
              <w:rPr>
                <w:rtl w:val="0"/>
              </w:rPr>
            </w:r>
          </w:p>
          <w:p w:rsidR="00000000" w:rsidDel="00000000" w:rsidP="00000000" w:rsidRDefault="00000000" w:rsidRPr="00000000" w14:paraId="00000017">
            <w:pPr>
              <w:jc w:val="both"/>
              <w:rPr/>
            </w:pPr>
            <w:r w:rsidDel="00000000" w:rsidR="00000000" w:rsidRPr="00000000">
              <w:rPr>
                <w:rtl w:val="0"/>
              </w:rPr>
              <w:t xml:space="preserve">Pat Murphy est copropriétaire de Smartheat avec son mari, Gilbert McCormack.</w:t>
            </w:r>
          </w:p>
          <w:p w:rsidR="00000000" w:rsidDel="00000000" w:rsidP="00000000" w:rsidRDefault="00000000" w:rsidRPr="00000000" w14:paraId="00000018">
            <w:pPr>
              <w:jc w:val="both"/>
              <w:rPr/>
            </w:pPr>
            <w:r w:rsidDel="00000000" w:rsidR="00000000" w:rsidRPr="00000000">
              <w:rPr>
                <w:rtl w:val="0"/>
              </w:rPr>
              <w:t xml:space="preserve">Ils ont pour mission d'améliorer le confort domestique et de réduire les factures de chauffage, tout en prenant soin de l'environnement,</w:t>
            </w:r>
            <w:r w:rsidDel="00000000" w:rsidR="00000000" w:rsidRPr="00000000">
              <w:rPr>
                <w:rFonts w:ascii="Helvetica Neue" w:cs="Helvetica Neue" w:eastAsia="Helvetica Neue" w:hAnsi="Helvetica Neue"/>
                <w:color w:val="303030"/>
                <w:sz w:val="21"/>
                <w:szCs w:val="21"/>
                <w:highlight w:val="white"/>
                <w:rtl w:val="0"/>
              </w:rPr>
              <w:t xml:space="preserve"> </w:t>
            </w:r>
            <w:r w:rsidDel="00000000" w:rsidR="00000000" w:rsidRPr="00000000">
              <w:rPr>
                <w:rtl w:val="0"/>
              </w:rPr>
              <w:t xml:space="preserve">en offrant des conseils professionnels et pratiques sur la réduction de la consommation d'énergie et des coûts associés dans votre maison.</w:t>
            </w:r>
            <w:r w:rsidDel="00000000" w:rsidR="00000000" w:rsidRPr="00000000">
              <w:rPr>
                <w:rFonts w:ascii="Helvetica Neue" w:cs="Helvetica Neue" w:eastAsia="Helvetica Neue" w:hAnsi="Helvetica Neue"/>
                <w:color w:val="303030"/>
                <w:sz w:val="21"/>
                <w:szCs w:val="21"/>
                <w:highlight w:val="white"/>
                <w:rtl w:val="0"/>
              </w:rPr>
              <w:t xml:space="preserve"> </w:t>
            </w:r>
            <w:r w:rsidDel="00000000" w:rsidR="00000000" w:rsidRPr="00000000">
              <w:rPr>
                <w:rtl w:val="0"/>
              </w:rPr>
              <w:t xml:space="preserve">Smartheat a des antécédents de fourniture de poêles et de chaudières à granulés de bois de qualité et de haute technologie sur le marché irlandais.  </w:t>
            </w:r>
          </w:p>
          <w:p w:rsidR="00000000" w:rsidDel="00000000" w:rsidP="00000000" w:rsidRDefault="00000000" w:rsidRPr="00000000" w14:paraId="00000019">
            <w:pPr>
              <w:jc w:val="both"/>
              <w:rPr>
                <w:rFonts w:ascii="Helvetica Neue" w:cs="Helvetica Neue" w:eastAsia="Helvetica Neue" w:hAnsi="Helvetica Neue"/>
                <w:color w:val="303030"/>
                <w:sz w:val="21"/>
                <w:szCs w:val="21"/>
                <w:highlight w:val="white"/>
              </w:rPr>
            </w:pPr>
            <w:r w:rsidDel="00000000" w:rsidR="00000000" w:rsidRPr="00000000">
              <w:rPr>
                <w:rtl w:val="0"/>
              </w:rPr>
              <w:t xml:space="preserve">Tous les poêles à pellets Ravelli de première qualité de leur gamme sont conformes à la norme Ecodesign.</w:t>
            </w:r>
            <w:r w:rsidDel="00000000" w:rsidR="00000000" w:rsidRPr="00000000">
              <w:rPr>
                <w:rtl w:val="0"/>
              </w:rPr>
            </w:r>
          </w:p>
          <w:p w:rsidR="00000000" w:rsidDel="00000000" w:rsidP="00000000" w:rsidRDefault="00000000" w:rsidRPr="00000000" w14:paraId="0000001A">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01B">
            <w:pPr>
              <w:jc w:val="both"/>
              <w:rPr/>
            </w:pPr>
            <w:r w:rsidDel="00000000" w:rsidR="00000000" w:rsidRPr="00000000">
              <w:rPr>
                <w:rtl w:val="0"/>
              </w:rPr>
              <w:t xml:space="preserve">Historiquement, l'entreprise a commercialisé ses produits en participant à des foires commerciales.</w:t>
            </w:r>
          </w:p>
          <w:p w:rsidR="00000000" w:rsidDel="00000000" w:rsidP="00000000" w:rsidRDefault="00000000" w:rsidRPr="00000000" w14:paraId="0000001C">
            <w:pPr>
              <w:jc w:val="both"/>
              <w:rPr/>
            </w:pPr>
            <w:r w:rsidDel="00000000" w:rsidR="00000000" w:rsidRPr="00000000">
              <w:rPr>
                <w:rtl w:val="0"/>
              </w:rPr>
              <w:t xml:space="preserve">Les restrictions liées à la pandémie ont considérablement entravé leur capacité à participer à cette activité. Elles se sont donc tournées vers le marketing électronique via leurs sites web </w:t>
            </w:r>
            <w:hyperlink r:id="rId7">
              <w:r w:rsidDel="00000000" w:rsidR="00000000" w:rsidRPr="00000000">
                <w:rPr>
                  <w:color w:val="0000ff"/>
                  <w:u w:val="single"/>
                  <w:rtl w:val="0"/>
                </w:rPr>
                <w:t xml:space="preserve">www.smartheat.ie</w:t>
              </w:r>
            </w:hyperlink>
            <w:r w:rsidDel="00000000" w:rsidR="00000000" w:rsidRPr="00000000">
              <w:rPr>
                <w:rtl w:val="0"/>
              </w:rPr>
              <w:t xml:space="preserve"> et </w:t>
            </w:r>
            <w:hyperlink r:id="rId8">
              <w:r w:rsidDel="00000000" w:rsidR="00000000" w:rsidRPr="00000000">
                <w:rPr>
                  <w:color w:val="0000ff"/>
                  <w:u w:val="single"/>
                  <w:rtl w:val="0"/>
                </w:rPr>
                <w:t xml:space="preserve">www.pelletstoves.ie</w:t>
              </w:r>
            </w:hyperlink>
            <w:r w:rsidDel="00000000" w:rsidR="00000000" w:rsidRPr="00000000">
              <w:rPr>
                <w:rtl w:val="0"/>
              </w:rPr>
              <w:t xml:space="preserve">.</w:t>
            </w:r>
          </w:p>
          <w:p w:rsidR="00000000" w:rsidDel="00000000" w:rsidP="00000000" w:rsidRDefault="00000000" w:rsidRPr="00000000" w14:paraId="0000001D">
            <w:pPr>
              <w:jc w:val="both"/>
              <w:rPr/>
            </w:pPr>
            <w:r w:rsidDel="00000000" w:rsidR="00000000" w:rsidRPr="00000000">
              <w:rPr>
                <w:rtl w:val="0"/>
              </w:rPr>
              <w:t xml:space="preserve">Leurs sites web sont à la fois des brochures et des sites de commerce électronique.</w:t>
            </w:r>
          </w:p>
          <w:p w:rsidR="00000000" w:rsidDel="00000000" w:rsidP="00000000" w:rsidRDefault="00000000" w:rsidRPr="00000000" w14:paraId="0000001E">
            <w:pPr>
              <w:jc w:val="both"/>
              <w:rPr/>
            </w:pPr>
            <w:r w:rsidDel="00000000" w:rsidR="00000000" w:rsidRPr="00000000">
              <w:rPr>
                <w:rtl w:val="0"/>
              </w:rPr>
            </w:r>
          </w:p>
          <w:p w:rsidR="00000000" w:rsidDel="00000000" w:rsidP="00000000" w:rsidRDefault="00000000" w:rsidRPr="00000000" w14:paraId="0000001F">
            <w:pPr>
              <w:jc w:val="both"/>
              <w:rPr/>
            </w:pPr>
            <w:r w:rsidDel="00000000" w:rsidR="00000000" w:rsidRPr="00000000">
              <w:rPr>
                <w:rtl w:val="0"/>
              </w:rPr>
              <w:t xml:space="preserve">Grâce à l'aide du programme de bons commerciaux en ligne de l'Office local des entreprises de Longford (LEO), l'entreprise s'est dotée d'un nouveau logo, de vidéos promotionnelles et d'un site web réactif.</w:t>
            </w:r>
          </w:p>
          <w:p w:rsidR="00000000" w:rsidDel="00000000" w:rsidP="00000000" w:rsidRDefault="00000000" w:rsidRPr="00000000" w14:paraId="00000020">
            <w:pPr>
              <w:jc w:val="both"/>
              <w:rPr/>
            </w:pPr>
            <w:r w:rsidDel="00000000" w:rsidR="00000000" w:rsidRPr="00000000">
              <w:rPr>
                <w:rtl w:val="0"/>
              </w:rPr>
              <w:t xml:space="preserve">Le site web </w:t>
            </w:r>
            <w:hyperlink r:id="rId9">
              <w:r w:rsidDel="00000000" w:rsidR="00000000" w:rsidRPr="00000000">
                <w:rPr>
                  <w:color w:val="0000ff"/>
                  <w:u w:val="single"/>
                  <w:rtl w:val="0"/>
                </w:rPr>
                <w:t xml:space="preserve">www.smartheat.ie</w:t>
              </w:r>
            </w:hyperlink>
            <w:r w:rsidDel="00000000" w:rsidR="00000000" w:rsidRPr="00000000">
              <w:rPr>
                <w:rtl w:val="0"/>
              </w:rPr>
              <w:t xml:space="preserve"> est très apprécié pour son contenu et sa facilité d'utilisation.</w:t>
            </w:r>
          </w:p>
          <w:p w:rsidR="00000000" w:rsidDel="00000000" w:rsidP="00000000" w:rsidRDefault="00000000" w:rsidRPr="00000000" w14:paraId="00000021">
            <w:pPr>
              <w:jc w:val="both"/>
              <w:rPr/>
            </w:pPr>
            <w:r w:rsidDel="00000000" w:rsidR="00000000" w:rsidRPr="00000000">
              <w:rPr>
                <w:rtl w:val="0"/>
              </w:rPr>
              <w:t xml:space="preserve">La visibilité en ligne de l'entreprise s'en est trouvée considérablement accrue, le site se classant très bien dans Google pour les termes de recherche pertinents.  </w:t>
            </w:r>
          </w:p>
          <w:p w:rsidR="00000000" w:rsidDel="00000000" w:rsidP="00000000" w:rsidRDefault="00000000" w:rsidRPr="00000000" w14:paraId="00000022">
            <w:pPr>
              <w:jc w:val="both"/>
              <w:rPr/>
            </w:pPr>
            <w:r w:rsidDel="00000000" w:rsidR="00000000" w:rsidRPr="00000000">
              <w:rPr>
                <w:rtl w:val="0"/>
              </w:rPr>
              <w:t xml:space="preserve">Depuis le début du commerce en ligne via la boutique en ligne </w:t>
            </w:r>
            <w:hyperlink r:id="rId10">
              <w:r w:rsidDel="00000000" w:rsidR="00000000" w:rsidRPr="00000000">
                <w:rPr>
                  <w:color w:val="0000ff"/>
                  <w:u w:val="single"/>
                  <w:rtl w:val="0"/>
                </w:rPr>
                <w:t xml:space="preserve">http://smartheat.ie/shop/</w:t>
              </w:r>
            </w:hyperlink>
            <w:r w:rsidDel="00000000" w:rsidR="00000000" w:rsidRPr="00000000">
              <w:rPr>
                <w:rtl w:val="0"/>
              </w:rPr>
              <w:t xml:space="preserve">, les nouveaux produits de Smartheat comprennent des accessoires pour poêles et des systèmes d'évacuation des fumées. Ces produits représentent environ 25 % du chiffre d'affaires.</w:t>
            </w:r>
          </w:p>
          <w:p w:rsidR="00000000" w:rsidDel="00000000" w:rsidP="00000000" w:rsidRDefault="00000000" w:rsidRPr="00000000" w14:paraId="00000023">
            <w:pPr>
              <w:jc w:val="both"/>
              <w:rPr/>
            </w:pPr>
            <w:r w:rsidDel="00000000" w:rsidR="00000000" w:rsidRPr="00000000">
              <w:rPr>
                <w:rtl w:val="0"/>
              </w:rPr>
              <w:t xml:space="preserve">Ils ont également utilisé le système de bons commerciaux en ligne pour construire </w:t>
            </w:r>
            <w:hyperlink r:id="rId11">
              <w:r w:rsidDel="00000000" w:rsidR="00000000" w:rsidRPr="00000000">
                <w:rPr>
                  <w:color w:val="0000ff"/>
                  <w:u w:val="single"/>
                  <w:rtl w:val="0"/>
                </w:rPr>
                <w:t xml:space="preserve">www.pelletstoves.ie</w:t>
              </w:r>
            </w:hyperlink>
            <w:r w:rsidDel="00000000" w:rsidR="00000000" w:rsidRPr="00000000">
              <w:rPr>
                <w:rtl w:val="0"/>
              </w:rPr>
              <w:t xml:space="preserve"> en 2020, qui se consacre uniquement aux poêles à granulés de bois et aux systèmes de conduits de fumée pour ces poêles. Ils ont déjà réalisé des ventes en ligne de systèmes de conduits de fumée depuis leur lancement en octobre 2020 et ont constaté une augmentation de l'activité pour ce produit/service en 2021 et 2022.</w:t>
            </w:r>
          </w:p>
          <w:p w:rsidR="00000000" w:rsidDel="00000000" w:rsidP="00000000" w:rsidRDefault="00000000" w:rsidRPr="00000000" w14:paraId="00000024">
            <w:pPr>
              <w:jc w:val="both"/>
              <w:rPr/>
            </w:pPr>
            <w:r w:rsidDel="00000000" w:rsidR="00000000" w:rsidRPr="00000000">
              <w:rPr>
                <w:rtl w:val="0"/>
              </w:rPr>
            </w:r>
          </w:p>
          <w:p w:rsidR="00000000" w:rsidDel="00000000" w:rsidP="00000000" w:rsidRDefault="00000000" w:rsidRPr="00000000" w14:paraId="00000025">
            <w:pPr>
              <w:jc w:val="both"/>
              <w:rPr/>
            </w:pPr>
            <w:r w:rsidDel="00000000" w:rsidR="00000000" w:rsidRPr="00000000">
              <w:rPr>
                <w:rtl w:val="0"/>
              </w:rPr>
              <w:t xml:space="preserve">Ils ont également bénéficié d'une formation approfondie afin de garantir la maintenance et la mise à jour du site web en interne à l'avenir.</w:t>
            </w:r>
          </w:p>
          <w:p w:rsidR="00000000" w:rsidDel="00000000" w:rsidP="00000000" w:rsidRDefault="00000000" w:rsidRPr="00000000" w14:paraId="00000026">
            <w:pPr>
              <w:jc w:val="both"/>
              <w:rPr/>
            </w:pPr>
            <w:r w:rsidDel="00000000" w:rsidR="00000000" w:rsidRPr="00000000">
              <w:rPr>
                <w:rtl w:val="0"/>
              </w:rPr>
              <w:t xml:space="preserve">Les ventes en ligne augmentent régulièrement et représentent 100 % des ventes pendant la crise COVID.  </w:t>
            </w:r>
          </w:p>
          <w:p w:rsidR="00000000" w:rsidDel="00000000" w:rsidP="00000000" w:rsidRDefault="00000000" w:rsidRPr="00000000" w14:paraId="00000027">
            <w:pPr>
              <w:jc w:val="both"/>
              <w:rPr/>
            </w:pPr>
            <w:r w:rsidDel="00000000" w:rsidR="00000000" w:rsidRPr="00000000">
              <w:rPr>
                <w:rtl w:val="0"/>
              </w:rPr>
            </w:r>
          </w:p>
          <w:p w:rsidR="00000000" w:rsidDel="00000000" w:rsidP="00000000" w:rsidRDefault="00000000" w:rsidRPr="00000000" w14:paraId="00000028">
            <w:pPr>
              <w:jc w:val="both"/>
              <w:rPr/>
            </w:pPr>
            <w:r w:rsidDel="00000000" w:rsidR="00000000" w:rsidRPr="00000000">
              <w:rPr>
                <w:rtl w:val="0"/>
              </w:rPr>
              <w:t xml:space="preserve">Une formation et une aide financière supplémentaires dans ce domaine seraient très utiles pour améliorer l'entreprise à l'avenir. Actuellement, une entreprise ne peut bénéficier que de deux subventions.  Et comme il s'agit d'un processus d'apprentissage continu, une aide à la mise à niveau des sites et à l'amélioration des compétences en matière de technologies de l'information serait très utile.</w:t>
            </w:r>
          </w:p>
          <w:p w:rsidR="00000000" w:rsidDel="00000000" w:rsidP="00000000" w:rsidRDefault="00000000" w:rsidRPr="00000000" w14:paraId="00000029">
            <w:pPr>
              <w:jc w:val="both"/>
              <w:rPr/>
            </w:pPr>
            <w:r w:rsidDel="00000000" w:rsidR="00000000" w:rsidRPr="00000000">
              <w:rPr>
                <w:rtl w:val="0"/>
              </w:rPr>
            </w:r>
          </w:p>
          <w:p w:rsidR="00000000" w:rsidDel="00000000" w:rsidP="00000000" w:rsidRDefault="00000000" w:rsidRPr="00000000" w14:paraId="0000002A">
            <w:pPr>
              <w:jc w:val="both"/>
              <w:rPr/>
            </w:pPr>
            <w:r w:rsidDel="00000000" w:rsidR="00000000" w:rsidRPr="00000000">
              <w:rPr>
                <w:rtl w:val="0"/>
              </w:rPr>
              <w:t xml:space="preserve">Ils commercialisent leurs sites web par l'intermédiaire des plateformes de médias sociaux.</w:t>
            </w:r>
          </w:p>
          <w:p w:rsidR="00000000" w:rsidDel="00000000" w:rsidP="00000000" w:rsidRDefault="00000000" w:rsidRPr="00000000" w14:paraId="0000002B">
            <w:pPr>
              <w:jc w:val="both"/>
              <w:rPr/>
            </w:pPr>
            <w:r w:rsidDel="00000000" w:rsidR="00000000" w:rsidRPr="00000000">
              <w:rPr>
                <w:rtl w:val="0"/>
              </w:rPr>
              <w:t xml:space="preserve">Pat a suivi des cours de marketing des médias sociaux et dispose désormais d'une expérience et d'une visibilité grâce à une chaîne YouTube, des pages Facebook et LinkedIn et un compte Twitter actif.</w:t>
            </w:r>
          </w:p>
          <w:p w:rsidR="00000000" w:rsidDel="00000000" w:rsidP="00000000" w:rsidRDefault="00000000" w:rsidRPr="00000000" w14:paraId="0000002C">
            <w:pPr>
              <w:jc w:val="both"/>
              <w:rPr/>
            </w:pPr>
            <w:r w:rsidDel="00000000" w:rsidR="00000000" w:rsidRPr="00000000">
              <w:rPr>
                <w:rtl w:val="0"/>
              </w:rPr>
              <w:t xml:space="preserve">L'intégration du site à ces canaux a grandement contribué à la commercialisation.</w:t>
            </w:r>
          </w:p>
          <w:p w:rsidR="00000000" w:rsidDel="00000000" w:rsidP="00000000" w:rsidRDefault="00000000" w:rsidRPr="00000000" w14:paraId="0000002D">
            <w:pPr>
              <w:jc w:val="both"/>
              <w:rPr/>
            </w:pPr>
            <w:r w:rsidDel="00000000" w:rsidR="00000000" w:rsidRPr="00000000">
              <w:rPr>
                <w:rtl w:val="0"/>
              </w:rPr>
            </w:r>
          </w:p>
          <w:p w:rsidR="00000000" w:rsidDel="00000000" w:rsidP="00000000" w:rsidRDefault="00000000" w:rsidRPr="00000000" w14:paraId="0000002E">
            <w:pPr>
              <w:jc w:val="both"/>
              <w:rPr/>
            </w:pPr>
            <w:r w:rsidDel="00000000" w:rsidR="00000000" w:rsidRPr="00000000">
              <w:rPr>
                <w:rtl w:val="0"/>
              </w:rPr>
              <w:t xml:space="preserve">En conclusion, sans l'aide des pratiques de l'entrepreneuriat numérique, l'entreprise n'aurait pas pu se développer ni même survivre à la pandémie. Il est très important que les femmes adoptent l'entrepreneuriat numérique afin qu'elles puissent être compétitives à l'avenir.</w:t>
            </w:r>
          </w:p>
          <w:p w:rsidR="00000000" w:rsidDel="00000000" w:rsidP="00000000" w:rsidRDefault="00000000" w:rsidRPr="00000000" w14:paraId="0000002F">
            <w:pPr>
              <w:rPr>
                <w:rFonts w:ascii="Calibri" w:cs="Calibri" w:eastAsia="Calibri" w:hAnsi="Calibri"/>
                <w:b w:val="1"/>
                <w:color w:val="244061"/>
              </w:rPr>
            </w:pPr>
            <w:r w:rsidDel="00000000" w:rsidR="00000000" w:rsidRPr="00000000">
              <w:rPr>
                <w:rtl w:val="0"/>
              </w:rPr>
            </w:r>
          </w:p>
        </w:tc>
      </w:tr>
      <w:tr>
        <w:trPr>
          <w:cantSplit w:val="0"/>
          <w:trHeight w:val="475" w:hRule="atLeast"/>
          <w:tblHeader w:val="0"/>
        </w:trPr>
        <w:tc>
          <w:tcPr>
            <w:shd w:fill="93268f" w:val="clear"/>
            <w:vAlign w:val="center"/>
          </w:tcPr>
          <w:p w:rsidR="00000000" w:rsidDel="00000000" w:rsidP="00000000" w:rsidRDefault="00000000" w:rsidRPr="00000000" w14:paraId="00000031">
            <w:pP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Lien de référence (le cas échéant)</w:t>
            </w:r>
          </w:p>
        </w:tc>
        <w:tc>
          <w:tcPr/>
          <w:p w:rsidR="00000000" w:rsidDel="00000000" w:rsidP="00000000" w:rsidRDefault="00000000" w:rsidRPr="00000000" w14:paraId="00000032">
            <w:pPr>
              <w:rPr>
                <w:rFonts w:ascii="Calibri" w:cs="Calibri" w:eastAsia="Calibri" w:hAnsi="Calibri"/>
                <w:color w:val="243255"/>
              </w:rPr>
            </w:pPr>
            <w:r w:rsidDel="00000000" w:rsidR="00000000" w:rsidRPr="00000000">
              <w:rPr>
                <w:rFonts w:ascii="Calibri" w:cs="Calibri" w:eastAsia="Calibri" w:hAnsi="Calibri"/>
                <w:color w:val="243255"/>
                <w:rtl w:val="0"/>
              </w:rPr>
              <w:t xml:space="preserve">www.smartheat.ie</w:t>
            </w:r>
          </w:p>
          <w:p w:rsidR="00000000" w:rsidDel="00000000" w:rsidP="00000000" w:rsidRDefault="00000000" w:rsidRPr="00000000" w14:paraId="00000033">
            <w:pPr>
              <w:ind w:left="708" w:firstLine="0"/>
              <w:rPr>
                <w:rFonts w:ascii="Calibri" w:cs="Calibri" w:eastAsia="Calibri" w:hAnsi="Calibri"/>
                <w:color w:val="243255"/>
              </w:rPr>
            </w:pPr>
            <w:r w:rsidDel="00000000" w:rsidR="00000000" w:rsidRPr="00000000">
              <w:rPr>
                <w:rtl w:val="0"/>
              </w:rPr>
            </w:r>
          </w:p>
        </w:tc>
      </w:tr>
      <w:tr>
        <w:trPr>
          <w:cantSplit w:val="0"/>
          <w:trHeight w:val="475" w:hRule="atLeast"/>
          <w:tblHeader w:val="0"/>
        </w:trPr>
        <w:tc>
          <w:tcPr>
            <w:shd w:fill="93268f" w:val="clear"/>
            <w:vAlign w:val="center"/>
          </w:tcPr>
          <w:p w:rsidR="00000000" w:rsidDel="00000000" w:rsidP="00000000" w:rsidRDefault="00000000" w:rsidRPr="00000000" w14:paraId="00000034">
            <w:pP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Type de matériau</w:t>
            </w:r>
          </w:p>
        </w:tc>
        <w:tc>
          <w:tcPr/>
          <w:p w:rsidR="00000000" w:rsidDel="00000000" w:rsidP="00000000" w:rsidRDefault="00000000" w:rsidRPr="00000000" w14:paraId="00000035">
            <w:pPr>
              <w:rPr>
                <w:rFonts w:ascii="Calibri" w:cs="Calibri" w:eastAsia="Calibri" w:hAnsi="Calibri"/>
              </w:rPr>
            </w:pPr>
            <w:r w:rsidDel="00000000" w:rsidR="00000000" w:rsidRPr="00000000">
              <w:rPr>
                <w:rFonts w:ascii="Calibri" w:cs="Calibri" w:eastAsia="Calibri" w:hAnsi="Calibri"/>
                <w:rtl w:val="0"/>
              </w:rPr>
              <w:t xml:space="preserve">ÉTUDE DE CAS</w:t>
            </w:r>
          </w:p>
          <w:p w:rsidR="00000000" w:rsidDel="00000000" w:rsidP="00000000" w:rsidRDefault="00000000" w:rsidRPr="00000000" w14:paraId="00000036">
            <w:pPr>
              <w:rPr>
                <w:rFonts w:ascii="Calibri" w:cs="Calibri" w:eastAsia="Calibri" w:hAnsi="Calibri"/>
                <w:color w:val="243255"/>
              </w:rPr>
            </w:pPr>
            <w:r w:rsidDel="00000000" w:rsidR="00000000" w:rsidRPr="00000000">
              <w:rPr>
                <w:rtl w:val="0"/>
              </w:rPr>
            </w:r>
          </w:p>
        </w:tc>
      </w:tr>
    </w:tbl>
    <w:p w:rsidR="00000000" w:rsidDel="00000000" w:rsidP="00000000" w:rsidRDefault="00000000" w:rsidRPr="00000000" w14:paraId="00000037">
      <w:pPr>
        <w:rPr>
          <w:rFonts w:ascii="Calibri" w:cs="Calibri" w:eastAsia="Calibri" w:hAnsi="Calibri"/>
        </w:rPr>
      </w:pPr>
      <w:r w:rsidDel="00000000" w:rsidR="00000000" w:rsidRPr="00000000">
        <w:rPr>
          <w:rtl w:val="0"/>
        </w:rPr>
      </w:r>
    </w:p>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8.00000000000006" w:lineRule="auto"/>
        <w:ind w:left="0" w:right="106"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sectPr>
      <w:headerReference r:id="rId12" w:type="default"/>
      <w:footerReference r:id="rId13" w:type="default"/>
      <w:pgSz w:h="16850" w:w="11910" w:orient="portrait"/>
      <w:pgMar w:bottom="280" w:top="1600" w:left="1680" w:right="132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Calibri"/>
  <w:font w:name="Tahoma">
    <w:embedRegular w:fontKey="{00000000-0000-0000-0000-000000000000}" r:id="rId1" w:subsetted="0"/>
    <w:embedBold w:fontKey="{00000000-0000-0000-0000-000000000000}" r:id="rId2" w:subsetted="0"/>
  </w:font>
  <w:font w:name="Helvetica Neue">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Arial M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8.00000000000006" w:lineRule="auto"/>
      <w:ind w:left="2081" w:right="106" w:firstLine="0"/>
      <w:jc w:val="left"/>
      <w:rPr>
        <w:rFonts w:ascii="Arial MT" w:cs="Arial MT" w:eastAsia="Arial MT" w:hAnsi="Arial MT"/>
        <w:b w:val="0"/>
        <w:i w:val="0"/>
        <w:smallCaps w:val="0"/>
        <w:strike w:val="0"/>
        <w:color w:val="000000"/>
        <w:sz w:val="13"/>
        <w:szCs w:val="13"/>
        <w:u w:val="none"/>
        <w:shd w:fill="auto" w:val="clear"/>
        <w:vertAlign w:val="baseline"/>
      </w:rPr>
    </w:pPr>
    <w:r w:rsidDel="00000000" w:rsidR="00000000" w:rsidRPr="00000000">
      <w:rPr>
        <w:rtl w:val="0"/>
      </w:rPr>
    </w:r>
  </w:p>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8.00000000000006" w:lineRule="auto"/>
      <w:ind w:left="2081" w:right="106" w:firstLine="0"/>
      <w:jc w:val="left"/>
      <w:rPr>
        <w:rFonts w:ascii="Arial MT" w:cs="Arial MT" w:eastAsia="Arial MT" w:hAnsi="Arial MT"/>
        <w:b w:val="0"/>
        <w:i w:val="0"/>
        <w:smallCaps w:val="0"/>
        <w:strike w:val="0"/>
        <w:color w:val="000000"/>
        <w:sz w:val="13"/>
        <w:szCs w:val="13"/>
        <w:u w:val="none"/>
        <w:shd w:fill="auto" w:val="clear"/>
        <w:vertAlign w:val="baseline"/>
      </w:rPr>
    </w:pPr>
    <w:r w:rsidDel="00000000" w:rsidR="00000000" w:rsidRPr="00000000">
      <w:rPr>
        <w:rFonts w:ascii="Arial MT" w:cs="Arial MT" w:eastAsia="Arial MT" w:hAnsi="Arial MT"/>
        <w:b w:val="0"/>
        <w:i w:val="0"/>
        <w:smallCaps w:val="0"/>
        <w:strike w:val="0"/>
        <w:color w:val="000000"/>
        <w:sz w:val="13"/>
        <w:szCs w:val="13"/>
        <w:u w:val="none"/>
        <w:shd w:fill="auto" w:val="clear"/>
        <w:vertAlign w:val="baseline"/>
        <w:rtl w:val="0"/>
      </w:rPr>
      <w:t xml:space="preserve">"The European Commission support for the production of this publication does not constitute endorsement of the contents which reflects the views only of the authors, and the Commission cannot be held responsible for any use which may be made of the information contained therein."</w:t>
      <w:tab/>
      <w:tab/>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Arial MT" w:cs="Arial MT" w:eastAsia="Arial MT" w:hAnsi="Arial MT"/>
        <w:b w:val="0"/>
        <w:i w:val="0"/>
        <w:smallCaps w:val="0"/>
        <w:strike w:val="0"/>
        <w:color w:val="000000"/>
        <w:sz w:val="22"/>
        <w:szCs w:val="22"/>
        <w:u w:val="none"/>
        <w:shd w:fill="auto" w:val="clear"/>
        <w:vertAlign w:val="baseline"/>
      </w:rPr>
    </w:pPr>
    <w:r w:rsidDel="00000000" w:rsidR="00000000" w:rsidRPr="00000000">
      <w:rPr>
        <w:rFonts w:ascii="Arial MT" w:cs="Arial MT" w:eastAsia="Arial MT" w:hAnsi="Arial MT"/>
        <w:b w:val="0"/>
        <w:i w:val="0"/>
        <w:smallCaps w:val="0"/>
        <w:strike w:val="0"/>
        <w:color w:val="000000"/>
        <w:sz w:val="22"/>
        <w:szCs w:val="22"/>
        <w:u w:val="none"/>
        <w:shd w:fill="auto" w:val="clear"/>
        <w:vertAlign w:val="baseline"/>
      </w:rPr>
      <mc:AlternateContent>
        <mc:Choice Requires="wpg">
          <w:drawing>
            <wp:anchor allowOverlap="1" behindDoc="1" distB="0" distT="0" distL="0" distR="0" hidden="0" layoutInCell="1" locked="0" relativeHeight="0" simplePos="0">
              <wp:simplePos x="0" y="0"/>
              <wp:positionH relativeFrom="page">
                <wp:posOffset>11430</wp:posOffset>
              </wp:positionH>
              <wp:positionV relativeFrom="page">
                <wp:posOffset>43382</wp:posOffset>
              </wp:positionV>
              <wp:extent cx="7562850" cy="10654234"/>
              <wp:effectExtent b="0" l="0" r="0" t="0"/>
              <wp:wrapNone/>
              <wp:docPr id="2" name=""/>
              <a:graphic>
                <a:graphicData uri="http://schemas.microsoft.com/office/word/2010/wordprocessingGroup">
                  <wpg:wgp>
                    <wpg:cNvGrpSpPr/>
                    <wpg:grpSpPr>
                      <a:xfrm>
                        <a:off x="1564575" y="0"/>
                        <a:ext cx="7562850" cy="10654234"/>
                        <a:chOff x="1564575" y="0"/>
                        <a:chExt cx="7562850" cy="7560000"/>
                      </a:xfrm>
                    </wpg:grpSpPr>
                    <wpg:grpSp>
                      <wpg:cNvGrpSpPr/>
                      <wpg:grpSpPr>
                        <a:xfrm>
                          <a:off x="1564575" y="0"/>
                          <a:ext cx="7562850" cy="7560000"/>
                          <a:chOff x="0" y="0"/>
                          <a:chExt cx="11910" cy="16845"/>
                        </a:xfrm>
                      </wpg:grpSpPr>
                      <wps:wsp>
                        <wps:cNvSpPr/>
                        <wps:cNvPr id="3" name="Shape 3"/>
                        <wps:spPr>
                          <a:xfrm>
                            <a:off x="0" y="0"/>
                            <a:ext cx="11900" cy="168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 name="Shape 4"/>
                        <wps:spPr>
                          <a:xfrm>
                            <a:off x="0" y="0"/>
                            <a:ext cx="5960" cy="2188"/>
                          </a:xfrm>
                          <a:custGeom>
                            <a:rect b="b" l="l" r="r" t="t"/>
                            <a:pathLst>
                              <a:path extrusionOk="0" h="2188" w="5960">
                                <a:moveTo>
                                  <a:pt x="0" y="2188"/>
                                </a:moveTo>
                                <a:lnTo>
                                  <a:pt x="0" y="0"/>
                                </a:lnTo>
                                <a:lnTo>
                                  <a:pt x="4534" y="0"/>
                                </a:lnTo>
                                <a:lnTo>
                                  <a:pt x="5959" y="422"/>
                                </a:lnTo>
                                <a:lnTo>
                                  <a:pt x="0" y="2188"/>
                                </a:lnTo>
                                <a:close/>
                              </a:path>
                            </a:pathLst>
                          </a:custGeom>
                          <a:solidFill>
                            <a:srgbClr val="93268F"/>
                          </a:solidFill>
                          <a:ln>
                            <a:noFill/>
                          </a:ln>
                        </wps:spPr>
                        <wps:bodyPr anchorCtr="0" anchor="ctr" bIns="91425" lIns="91425" spcFirstLastPara="1" rIns="91425" wrap="square" tIns="91425">
                          <a:noAutofit/>
                        </wps:bodyPr>
                      </wps:wsp>
                      <wps:wsp>
                        <wps:cNvSpPr/>
                        <wps:cNvPr id="5" name="Shape 5"/>
                        <wps:spPr>
                          <a:xfrm>
                            <a:off x="5959" y="0"/>
                            <a:ext cx="5951" cy="2186"/>
                          </a:xfrm>
                          <a:custGeom>
                            <a:rect b="b" l="l" r="r" t="t"/>
                            <a:pathLst>
                              <a:path extrusionOk="0" h="2186" w="5951">
                                <a:moveTo>
                                  <a:pt x="5951" y="2185"/>
                                </a:moveTo>
                                <a:lnTo>
                                  <a:pt x="0" y="422"/>
                                </a:lnTo>
                                <a:lnTo>
                                  <a:pt x="1426" y="0"/>
                                </a:lnTo>
                                <a:lnTo>
                                  <a:pt x="5951" y="0"/>
                                </a:lnTo>
                                <a:lnTo>
                                  <a:pt x="5951" y="2185"/>
                                </a:lnTo>
                                <a:close/>
                              </a:path>
                            </a:pathLst>
                          </a:custGeom>
                          <a:solidFill>
                            <a:srgbClr val="CF9ECC"/>
                          </a:solidFill>
                          <a:ln>
                            <a:noFill/>
                          </a:ln>
                        </wps:spPr>
                        <wps:bodyPr anchorCtr="0" anchor="ctr" bIns="91425" lIns="91425" spcFirstLastPara="1" rIns="91425" wrap="square" tIns="91425">
                          <a:noAutofit/>
                        </wps:bodyPr>
                      </wps:wsp>
                      <wps:wsp>
                        <wps:cNvSpPr/>
                        <wps:cNvPr id="6" name="Shape 6"/>
                        <wps:spPr>
                          <a:xfrm>
                            <a:off x="4533" y="0"/>
                            <a:ext cx="2852" cy="423"/>
                          </a:xfrm>
                          <a:custGeom>
                            <a:rect b="b" l="l" r="r" t="t"/>
                            <a:pathLst>
                              <a:path extrusionOk="0" h="423" w="2852">
                                <a:moveTo>
                                  <a:pt x="1425" y="422"/>
                                </a:moveTo>
                                <a:lnTo>
                                  <a:pt x="0" y="0"/>
                                </a:lnTo>
                                <a:lnTo>
                                  <a:pt x="2851" y="0"/>
                                </a:lnTo>
                                <a:lnTo>
                                  <a:pt x="1425" y="422"/>
                                </a:lnTo>
                                <a:close/>
                              </a:path>
                            </a:pathLst>
                          </a:custGeom>
                          <a:solidFill>
                            <a:srgbClr val="640D61"/>
                          </a:solidFill>
                          <a:ln>
                            <a:noFill/>
                          </a:ln>
                        </wps:spPr>
                        <wps:bodyPr anchorCtr="0" anchor="ctr" bIns="91425" lIns="91425" spcFirstLastPara="1" rIns="91425" wrap="square" tIns="91425">
                          <a:noAutofit/>
                        </wps:bodyPr>
                      </wps:wsp>
                      <pic:pic>
                        <pic:nvPicPr>
                          <pic:cNvPr id="7" name="Shape 7"/>
                          <pic:cNvPicPr preferRelativeResize="0"/>
                        </pic:nvPicPr>
                        <pic:blipFill rotWithShape="1">
                          <a:blip r:embed="rId1">
                            <a:alphaModFix/>
                          </a:blip>
                          <a:srcRect b="0" l="0" r="0" t="0"/>
                          <a:stretch/>
                        </pic:blipFill>
                        <pic:spPr>
                          <a:xfrm>
                            <a:off x="4442" y="1191"/>
                            <a:ext cx="3033" cy="766"/>
                          </a:xfrm>
                          <a:prstGeom prst="rect">
                            <a:avLst/>
                          </a:prstGeom>
                          <a:noFill/>
                          <a:ln>
                            <a:noFill/>
                          </a:ln>
                        </pic:spPr>
                      </pic:pic>
                      <wps:wsp>
                        <wps:cNvSpPr/>
                        <wps:cNvPr id="8" name="Shape 8"/>
                        <wps:spPr>
                          <a:xfrm>
                            <a:off x="1200" y="612"/>
                            <a:ext cx="9533" cy="282"/>
                          </a:xfrm>
                          <a:custGeom>
                            <a:rect b="b" l="l" r="r" t="t"/>
                            <a:pathLst>
                              <a:path extrusionOk="0" h="282" w="9533">
                                <a:moveTo>
                                  <a:pt x="9533" y="254"/>
                                </a:moveTo>
                                <a:lnTo>
                                  <a:pt x="9281" y="254"/>
                                </a:lnTo>
                                <a:lnTo>
                                  <a:pt x="9281" y="0"/>
                                </a:lnTo>
                                <a:lnTo>
                                  <a:pt x="9253" y="0"/>
                                </a:lnTo>
                                <a:lnTo>
                                  <a:pt x="9253" y="254"/>
                                </a:lnTo>
                                <a:lnTo>
                                  <a:pt x="282" y="254"/>
                                </a:lnTo>
                                <a:lnTo>
                                  <a:pt x="282" y="0"/>
                                </a:lnTo>
                                <a:lnTo>
                                  <a:pt x="254" y="0"/>
                                </a:lnTo>
                                <a:lnTo>
                                  <a:pt x="254" y="254"/>
                                </a:lnTo>
                                <a:lnTo>
                                  <a:pt x="0" y="254"/>
                                </a:lnTo>
                                <a:lnTo>
                                  <a:pt x="0" y="282"/>
                                </a:lnTo>
                                <a:lnTo>
                                  <a:pt x="9533" y="282"/>
                                </a:lnTo>
                                <a:lnTo>
                                  <a:pt x="9533" y="254"/>
                                </a:lnTo>
                                <a:close/>
                              </a:path>
                            </a:pathLst>
                          </a:custGeom>
                          <a:solidFill>
                            <a:srgbClr val="CF9ECC"/>
                          </a:solidFill>
                          <a:ln>
                            <a:noFill/>
                          </a:ln>
                        </wps:spPr>
                        <wps:bodyPr anchorCtr="0" anchor="ctr" bIns="91425" lIns="91425" spcFirstLastPara="1" rIns="91425" wrap="square" tIns="91425">
                          <a:noAutofit/>
                        </wps:bodyPr>
                      </wps:wsp>
                      <wps:wsp>
                        <wps:cNvSpPr/>
                        <wps:cNvPr id="9" name="Shape 9"/>
                        <wps:spPr>
                          <a:xfrm>
                            <a:off x="5963" y="14728"/>
                            <a:ext cx="5947" cy="2117"/>
                          </a:xfrm>
                          <a:custGeom>
                            <a:rect b="b" l="l" r="r" t="t"/>
                            <a:pathLst>
                              <a:path extrusionOk="0" h="2117" w="5947">
                                <a:moveTo>
                                  <a:pt x="5947" y="0"/>
                                </a:moveTo>
                                <a:lnTo>
                                  <a:pt x="5947" y="2116"/>
                                </a:lnTo>
                                <a:lnTo>
                                  <a:pt x="1198" y="2116"/>
                                </a:lnTo>
                                <a:lnTo>
                                  <a:pt x="0" y="1761"/>
                                </a:lnTo>
                                <a:lnTo>
                                  <a:pt x="5947" y="0"/>
                                </a:lnTo>
                                <a:close/>
                              </a:path>
                            </a:pathLst>
                          </a:custGeom>
                          <a:solidFill>
                            <a:srgbClr val="93268F"/>
                          </a:solidFill>
                          <a:ln>
                            <a:noFill/>
                          </a:ln>
                        </wps:spPr>
                        <wps:bodyPr anchorCtr="0" anchor="ctr" bIns="91425" lIns="91425" spcFirstLastPara="1" rIns="91425" wrap="square" tIns="91425">
                          <a:noAutofit/>
                        </wps:bodyPr>
                      </wps:wsp>
                      <wps:wsp>
                        <wps:cNvSpPr/>
                        <wps:cNvPr id="10" name="Shape 10"/>
                        <wps:spPr>
                          <a:xfrm>
                            <a:off x="0" y="14723"/>
                            <a:ext cx="5964" cy="2122"/>
                          </a:xfrm>
                          <a:custGeom>
                            <a:rect b="b" l="l" r="r" t="t"/>
                            <a:pathLst>
                              <a:path extrusionOk="0" h="2122" w="5964">
                                <a:moveTo>
                                  <a:pt x="0" y="0"/>
                                </a:moveTo>
                                <a:lnTo>
                                  <a:pt x="5963" y="1766"/>
                                </a:lnTo>
                                <a:lnTo>
                                  <a:pt x="4766" y="2121"/>
                                </a:lnTo>
                                <a:lnTo>
                                  <a:pt x="0" y="2121"/>
                                </a:lnTo>
                                <a:lnTo>
                                  <a:pt x="0" y="0"/>
                                </a:lnTo>
                                <a:close/>
                              </a:path>
                            </a:pathLst>
                          </a:custGeom>
                          <a:solidFill>
                            <a:srgbClr val="CF9ECC"/>
                          </a:solidFill>
                          <a:ln>
                            <a:noFill/>
                          </a:ln>
                        </wps:spPr>
                        <wps:bodyPr anchorCtr="0" anchor="ctr" bIns="91425" lIns="91425" spcFirstLastPara="1" rIns="91425" wrap="square" tIns="91425">
                          <a:noAutofit/>
                        </wps:bodyPr>
                      </wps:wsp>
                      <wps:wsp>
                        <wps:cNvSpPr/>
                        <wps:cNvPr id="11" name="Shape 11"/>
                        <wps:spPr>
                          <a:xfrm>
                            <a:off x="4765" y="16490"/>
                            <a:ext cx="2396" cy="355"/>
                          </a:xfrm>
                          <a:custGeom>
                            <a:rect b="b" l="l" r="r" t="t"/>
                            <a:pathLst>
                              <a:path extrusionOk="0" h="355" w="2396">
                                <a:moveTo>
                                  <a:pt x="1197" y="0"/>
                                </a:moveTo>
                                <a:lnTo>
                                  <a:pt x="2395" y="355"/>
                                </a:lnTo>
                                <a:lnTo>
                                  <a:pt x="0" y="355"/>
                                </a:lnTo>
                                <a:lnTo>
                                  <a:pt x="1197" y="0"/>
                                </a:lnTo>
                                <a:close/>
                              </a:path>
                            </a:pathLst>
                          </a:custGeom>
                          <a:solidFill>
                            <a:srgbClr val="3B0338"/>
                          </a:solidFill>
                          <a:ln>
                            <a:noFill/>
                          </a:ln>
                        </wps:spPr>
                        <wps:bodyPr anchorCtr="0" anchor="ctr" bIns="91425" lIns="91425" spcFirstLastPara="1" rIns="91425" wrap="square" tIns="91425">
                          <a:noAutofit/>
                        </wps:bodyPr>
                      </wps:wsp>
                      <wps:wsp>
                        <wps:cNvSpPr/>
                        <wps:cNvPr id="12" name="Shape 12"/>
                        <wps:spPr>
                          <a:xfrm>
                            <a:off x="1200" y="894"/>
                            <a:ext cx="9533" cy="14911"/>
                          </a:xfrm>
                          <a:custGeom>
                            <a:rect b="b" l="l" r="r" t="t"/>
                            <a:pathLst>
                              <a:path extrusionOk="0" h="14911" w="9533">
                                <a:moveTo>
                                  <a:pt x="9533" y="14629"/>
                                </a:moveTo>
                                <a:lnTo>
                                  <a:pt x="9281" y="14629"/>
                                </a:lnTo>
                                <a:lnTo>
                                  <a:pt x="9281" y="0"/>
                                </a:lnTo>
                                <a:lnTo>
                                  <a:pt x="9253" y="0"/>
                                </a:lnTo>
                                <a:lnTo>
                                  <a:pt x="9253" y="14629"/>
                                </a:lnTo>
                                <a:lnTo>
                                  <a:pt x="282" y="14629"/>
                                </a:lnTo>
                                <a:lnTo>
                                  <a:pt x="282" y="0"/>
                                </a:lnTo>
                                <a:lnTo>
                                  <a:pt x="254" y="0"/>
                                </a:lnTo>
                                <a:lnTo>
                                  <a:pt x="254" y="14629"/>
                                </a:lnTo>
                                <a:lnTo>
                                  <a:pt x="0" y="14629"/>
                                </a:lnTo>
                                <a:lnTo>
                                  <a:pt x="0" y="14657"/>
                                </a:lnTo>
                                <a:lnTo>
                                  <a:pt x="254" y="14657"/>
                                </a:lnTo>
                                <a:lnTo>
                                  <a:pt x="254" y="14911"/>
                                </a:lnTo>
                                <a:lnTo>
                                  <a:pt x="282" y="14911"/>
                                </a:lnTo>
                                <a:lnTo>
                                  <a:pt x="282" y="14657"/>
                                </a:lnTo>
                                <a:lnTo>
                                  <a:pt x="9253" y="14657"/>
                                </a:lnTo>
                                <a:lnTo>
                                  <a:pt x="9253" y="14911"/>
                                </a:lnTo>
                                <a:lnTo>
                                  <a:pt x="9281" y="14911"/>
                                </a:lnTo>
                                <a:lnTo>
                                  <a:pt x="9281" y="14657"/>
                                </a:lnTo>
                                <a:lnTo>
                                  <a:pt x="9533" y="14657"/>
                                </a:lnTo>
                                <a:lnTo>
                                  <a:pt x="9533" y="14629"/>
                                </a:lnTo>
                                <a:close/>
                              </a:path>
                            </a:pathLst>
                          </a:custGeom>
                          <a:solidFill>
                            <a:srgbClr val="CF9ECC"/>
                          </a:solidFill>
                          <a:ln>
                            <a:noFill/>
                          </a:ln>
                        </wps:spPr>
                        <wps:bodyPr anchorCtr="0" anchor="ctr" bIns="91425" lIns="91425" spcFirstLastPara="1" rIns="91425" wrap="square" tIns="91425">
                          <a:noAutofit/>
                        </wps:bodyPr>
                      </wps:wsp>
                      <pic:pic>
                        <pic:nvPicPr>
                          <pic:cNvPr id="13" name="Shape 13"/>
                          <pic:cNvPicPr preferRelativeResize="0"/>
                        </pic:nvPicPr>
                        <pic:blipFill rotWithShape="1">
                          <a:blip r:embed="rId2">
                            <a:alphaModFix/>
                          </a:blip>
                          <a:srcRect b="0" l="0" r="0" t="0"/>
                          <a:stretch/>
                        </pic:blipFill>
                        <pic:spPr>
                          <a:xfrm>
                            <a:off x="1569" y="15701"/>
                            <a:ext cx="2072" cy="436"/>
                          </a:xfrm>
                          <a:prstGeom prst="rect">
                            <a:avLst/>
                          </a:prstGeom>
                          <a:noFill/>
                          <a:ln>
                            <a:noFill/>
                          </a:ln>
                        </pic:spPr>
                      </pic:pic>
                    </wpg:grpSp>
                  </wpg:wgp>
                </a:graphicData>
              </a:graphic>
            </wp:anchor>
          </w:drawing>
        </mc:Choice>
        <mc:Fallback>
          <w:drawing>
            <wp:anchor allowOverlap="1" behindDoc="1" distB="0" distT="0" distL="0" distR="0" hidden="0" layoutInCell="1" locked="0" relativeHeight="0" simplePos="0">
              <wp:simplePos x="0" y="0"/>
              <wp:positionH relativeFrom="page">
                <wp:posOffset>11430</wp:posOffset>
              </wp:positionH>
              <wp:positionV relativeFrom="page">
                <wp:posOffset>43382</wp:posOffset>
              </wp:positionV>
              <wp:extent cx="7562850" cy="10654234"/>
              <wp:effectExtent b="0" l="0" r="0" t="0"/>
              <wp:wrapNone/>
              <wp:docPr id="2" name="image1.png"/>
              <a:graphic>
                <a:graphicData uri="http://schemas.openxmlformats.org/drawingml/2006/picture">
                  <pic:pic>
                    <pic:nvPicPr>
                      <pic:cNvPr id="0" name="image1.png"/>
                      <pic:cNvPicPr preferRelativeResize="0"/>
                    </pic:nvPicPr>
                    <pic:blipFill>
                      <a:blip r:embed="rId3"/>
                      <a:srcRect/>
                      <a:stretch>
                        <a:fillRect/>
                      </a:stretch>
                    </pic:blipFill>
                    <pic:spPr>
                      <a:xfrm>
                        <a:off x="0" y="0"/>
                        <a:ext cx="7562850" cy="10654234"/>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Arial MT" w:cs="Arial MT" w:eastAsia="Arial MT" w:hAnsi="Arial MT"/>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Arial MT" w:cs="Arial MT" w:eastAsia="Arial MT" w:hAnsi="Arial MT"/>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Arial MT" w:cs="Arial MT" w:eastAsia="Arial MT" w:hAnsi="Arial MT"/>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Arial MT" w:cs="Arial MT" w:eastAsia="Arial MT" w:hAnsi="Arial MT"/>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E">
    <w:pPr>
      <w:pStyle w:val="Title"/>
      <w:ind w:firstLine="3426"/>
      <w:rPr>
        <w:color w:val="93268f"/>
      </w:rPr>
    </w:pPr>
    <w:r w:rsidDel="00000000" w:rsidR="00000000" w:rsidRPr="00000000">
      <w:rPr>
        <w:color w:val="93268f"/>
        <w:rtl w:val="0"/>
      </w:rPr>
      <w:t xml:space="preserve">dewproject.eu</w:t>
    </w:r>
  </w:p>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Arial MT" w:cs="Arial MT" w:eastAsia="Arial MT" w:hAnsi="Arial MT"/>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MT" w:cs="Arial MT" w:eastAsia="Arial MT" w:hAnsi="Arial MT"/>
        <w:sz w:val="22"/>
        <w:szCs w:val="22"/>
        <w:lang w:val="en-US"/>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before="122" w:lineRule="auto"/>
      <w:ind w:left="3426" w:right="3778"/>
      <w:jc w:val="center"/>
    </w:pPr>
    <w:rPr>
      <w:rFonts w:ascii="Tahoma" w:cs="Tahoma" w:eastAsia="Tahoma" w:hAnsi="Tahoma"/>
      <w:b w:val="1"/>
      <w:sz w:val="23"/>
      <w:szCs w:val="23"/>
    </w:rPr>
  </w:style>
  <w:style w:type="paragraph" w:styleId="Normal" w:default="1">
    <w:name w:val="Normal"/>
    <w:qFormat w:val="1"/>
    <w:rPr>
      <w:rFonts w:ascii="Arial MT" w:cs="Arial MT" w:eastAsia="Arial MT" w:hAnsi="Arial MT"/>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table" w:styleId="TableNormal1" w:customStyle="1">
    <w:name w:val="Table Normal1"/>
    <w:uiPriority w:val="2"/>
    <w:semiHidden w:val="1"/>
    <w:unhideWhenUsed w:val="1"/>
    <w:qFormat w:val="1"/>
    <w:tblPr>
      <w:tblInd w:w="0.0" w:type="dxa"/>
      <w:tblCellMar>
        <w:top w:w="0.0" w:type="dxa"/>
        <w:left w:w="0.0" w:type="dxa"/>
        <w:bottom w:w="0.0" w:type="dxa"/>
        <w:right w:w="0.0" w:type="dxa"/>
      </w:tblCellMar>
    </w:tblPr>
  </w:style>
  <w:style w:type="paragraph" w:styleId="BodyText">
    <w:name w:val="Body Text"/>
    <w:basedOn w:val="Normal"/>
    <w:uiPriority w:val="1"/>
    <w:qFormat w:val="1"/>
    <w:rPr>
      <w:sz w:val="13"/>
      <w:szCs w:val="13"/>
    </w:rPr>
  </w:style>
  <w:style w:type="paragraph" w:styleId="Title">
    <w:name w:val="Title"/>
    <w:basedOn w:val="Normal"/>
    <w:uiPriority w:val="10"/>
    <w:qFormat w:val="1"/>
    <w:pPr>
      <w:spacing w:before="122"/>
      <w:ind w:left="3426" w:right="3778"/>
      <w:jc w:val="center"/>
    </w:pPr>
    <w:rPr>
      <w:rFonts w:ascii="Tahoma" w:cs="Tahoma" w:eastAsia="Tahoma" w:hAnsi="Tahoma"/>
      <w:b w:val="1"/>
      <w:bCs w:val="1"/>
      <w:sz w:val="23"/>
      <w:szCs w:val="23"/>
    </w:rPr>
  </w:style>
  <w:style w:type="paragraph" w:styleId="ListParagraph">
    <w:name w:val="List Paragraph"/>
    <w:basedOn w:val="Normal"/>
    <w:uiPriority w:val="1"/>
    <w:qFormat w:val="1"/>
  </w:style>
  <w:style w:type="paragraph" w:styleId="TableParagraph" w:customStyle="1">
    <w:name w:val="Table Paragraph"/>
    <w:basedOn w:val="Normal"/>
    <w:uiPriority w:val="1"/>
    <w:qFormat w:val="1"/>
  </w:style>
  <w:style w:type="paragraph" w:styleId="Header">
    <w:name w:val="header"/>
    <w:basedOn w:val="Normal"/>
    <w:link w:val="HeaderChar"/>
    <w:uiPriority w:val="99"/>
    <w:unhideWhenUsed w:val="1"/>
    <w:rsid w:val="00FA44BE"/>
    <w:pPr>
      <w:tabs>
        <w:tab w:val="center" w:pos="4252"/>
        <w:tab w:val="right" w:pos="8504"/>
      </w:tabs>
    </w:pPr>
  </w:style>
  <w:style w:type="character" w:styleId="HeaderChar" w:customStyle="1">
    <w:name w:val="Header Char"/>
    <w:basedOn w:val="DefaultParagraphFont"/>
    <w:link w:val="Header"/>
    <w:uiPriority w:val="99"/>
    <w:rsid w:val="00FA44BE"/>
    <w:rPr>
      <w:rFonts w:ascii="Arial MT" w:cs="Arial MT" w:eastAsia="Arial MT" w:hAnsi="Arial MT"/>
    </w:rPr>
  </w:style>
  <w:style w:type="paragraph" w:styleId="Footer">
    <w:name w:val="footer"/>
    <w:basedOn w:val="Normal"/>
    <w:link w:val="FooterChar"/>
    <w:uiPriority w:val="99"/>
    <w:unhideWhenUsed w:val="1"/>
    <w:rsid w:val="00FA44BE"/>
    <w:pPr>
      <w:tabs>
        <w:tab w:val="center" w:pos="4252"/>
        <w:tab w:val="right" w:pos="8504"/>
      </w:tabs>
    </w:pPr>
  </w:style>
  <w:style w:type="character" w:styleId="FooterChar" w:customStyle="1">
    <w:name w:val="Footer Char"/>
    <w:basedOn w:val="DefaultParagraphFont"/>
    <w:link w:val="Footer"/>
    <w:uiPriority w:val="99"/>
    <w:rsid w:val="00FA44BE"/>
    <w:rPr>
      <w:rFonts w:ascii="Arial MT" w:cs="Arial MT" w:eastAsia="Arial MT" w:hAnsi="Arial MT"/>
    </w:rPr>
  </w:style>
  <w:style w:type="table" w:styleId="TableGrid">
    <w:name w:val="Table Grid"/>
    <w:basedOn w:val="TableNormal"/>
    <w:uiPriority w:val="39"/>
    <w:rsid w:val="00D54FB1"/>
    <w:pPr>
      <w:widowControl w:val="1"/>
      <w:autoSpaceDE w:val="1"/>
      <w:autoSpaceDN w:val="1"/>
    </w:pPr>
    <w:rPr>
      <w:rFonts w:eastAsiaTheme="minorEastAsia"/>
      <w:lang w:val="es-ES"/>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Strong">
    <w:name w:val="Strong"/>
    <w:basedOn w:val="DefaultParagraphFont"/>
    <w:uiPriority w:val="22"/>
    <w:qFormat w:val="1"/>
    <w:rsid w:val="00E710C7"/>
    <w:rPr>
      <w:b w:val="1"/>
      <w:bCs w:val="1"/>
    </w:rPr>
  </w:style>
  <w:style w:type="character" w:styleId="Emphasis">
    <w:name w:val="Emphasis"/>
    <w:basedOn w:val="DefaultParagraphFont"/>
    <w:uiPriority w:val="20"/>
    <w:qFormat w:val="1"/>
    <w:rsid w:val="00E710C7"/>
    <w:rPr>
      <w:i w:val="1"/>
      <w:iCs w:val="1"/>
    </w:rPr>
  </w:style>
  <w:style w:type="character" w:styleId="Hyperlink">
    <w:name w:val="Hyperlink"/>
    <w:basedOn w:val="DefaultParagraphFont"/>
    <w:uiPriority w:val="99"/>
    <w:unhideWhenUsed w:val="1"/>
    <w:rsid w:val="00B1152E"/>
    <w:rPr>
      <w:color w:val="0000ff" w:themeColor="hyperlink"/>
      <w:u w:val="single"/>
    </w:rPr>
  </w:style>
  <w:style w:type="character" w:styleId="UnresolvedMention">
    <w:name w:val="Unresolved Mention"/>
    <w:basedOn w:val="DefaultParagraphFont"/>
    <w:uiPriority w:val="99"/>
    <w:semiHidden w:val="1"/>
    <w:unhideWhenUsed w:val="1"/>
    <w:rsid w:val="00B1152E"/>
    <w:rPr>
      <w:color w:val="605e5c"/>
      <w:shd w:color="auto" w:fill="e1dfdd" w:val="clear"/>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widowControl w:val="1"/>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www.pelletstoves.ie" TargetMode="External"/><Relationship Id="rId10" Type="http://schemas.openxmlformats.org/officeDocument/2006/relationships/hyperlink" Target="http://smartheat.ie/shop/" TargetMode="External"/><Relationship Id="rId13" Type="http://schemas.openxmlformats.org/officeDocument/2006/relationships/footer" Target="footer1.xml"/><Relationship Id="rId12"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www.smartheat.ie"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www.smartheat.ie" TargetMode="External"/><Relationship Id="rId8" Type="http://schemas.openxmlformats.org/officeDocument/2006/relationships/hyperlink" Target="http://www.pelletstoves.ie"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HelveticaNeue-regular.ttf"/><Relationship Id="rId4" Type="http://schemas.openxmlformats.org/officeDocument/2006/relationships/font" Target="fonts/HelveticaNeue-bold.ttf"/><Relationship Id="rId5" Type="http://schemas.openxmlformats.org/officeDocument/2006/relationships/font" Target="fonts/HelveticaNeue-italic.ttf"/><Relationship Id="rId6" Type="http://schemas.openxmlformats.org/officeDocument/2006/relationships/font" Target="fonts/HelveticaNeue-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2.jpg"/><Relationship Id="rId3"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jHCearMLIoRi3+AYFy72G9p7d/3w==">AMUW2mX+iCr08dGErm19C2BPXygnqazRx86wO+TeTeVeL9v0kGMzxuNVNzBUvVvQ0F2goqQXWCEasC61oNf7A4MozShbj1lZJxB/ewG9wZS5FG5D/BAp0qQ=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2023-02-13T13:39:00Z</dcterms:created>
  <dc:creator>Monia Coppola</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2022-01-04T00:00:00Z</vt:filetime>
  </property>
  <property fmtid="{D5CDD505-2E9C-101B-9397-08002B2CF9AE}" pid="3" name="Creator">
    <vt:lpwstr>Canva</vt:lpwstr>
  </property>
  <property fmtid="{D5CDD505-2E9C-101B-9397-08002B2CF9AE}" pid="4" name="LastSaved">
    <vt:filetime>2022-01-04T00:00:00Z</vt:filetime>
  </property>
</Properties>
</file>